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3DDC" w14:textId="77777777" w:rsidR="00EC16BC" w:rsidRDefault="00EC16BC" w:rsidP="00EC16BC">
      <w:pPr>
        <w:tabs>
          <w:tab w:val="left" w:pos="12861"/>
        </w:tabs>
        <w:ind w:left="512"/>
        <w:rPr>
          <w:rFonts w:ascii="Times New Roman"/>
          <w:position w:val="12"/>
          <w:sz w:val="20"/>
        </w:rPr>
      </w:pPr>
      <w:r>
        <w:rPr>
          <w:rFonts w:ascii="Times New Roman"/>
          <w:sz w:val="20"/>
        </w:rPr>
        <w:tab/>
      </w:r>
    </w:p>
    <w:p w14:paraId="7CA57D40" w14:textId="77777777" w:rsidR="00EC16BC" w:rsidRDefault="00EC16BC" w:rsidP="00EC16BC">
      <w:pPr>
        <w:pStyle w:val="Ttulo"/>
        <w:jc w:val="center"/>
        <w:rPr>
          <w:rFonts w:ascii="Arial" w:hAnsi="Arial" w:cs="Arial"/>
          <w:b/>
          <w:bCs/>
          <w:spacing w:val="-4"/>
          <w:sz w:val="30"/>
          <w:szCs w:val="30"/>
        </w:rPr>
      </w:pPr>
    </w:p>
    <w:p w14:paraId="758108D6" w14:textId="0DF3D636" w:rsidR="00EC16BC" w:rsidRPr="00EC16BC" w:rsidRDefault="00EC16BC" w:rsidP="00EC16BC">
      <w:pPr>
        <w:pStyle w:val="Ttulo"/>
        <w:jc w:val="center"/>
        <w:rPr>
          <w:rFonts w:ascii="Arial" w:hAnsi="Arial" w:cs="Arial"/>
          <w:b/>
          <w:bCs/>
          <w:spacing w:val="-4"/>
          <w:sz w:val="30"/>
          <w:szCs w:val="30"/>
        </w:rPr>
      </w:pPr>
      <w:r>
        <w:rPr>
          <w:rFonts w:ascii="Arial" w:hAnsi="Arial" w:cs="Arial"/>
          <w:b/>
          <w:bCs/>
          <w:spacing w:val="-4"/>
          <w:sz w:val="30"/>
          <w:szCs w:val="30"/>
        </w:rPr>
        <w:t>T</w:t>
      </w:r>
      <w:r w:rsidRPr="00EC16BC">
        <w:rPr>
          <w:rFonts w:ascii="Arial" w:hAnsi="Arial" w:cs="Arial"/>
          <w:b/>
          <w:bCs/>
          <w:spacing w:val="-4"/>
          <w:sz w:val="30"/>
          <w:szCs w:val="30"/>
        </w:rPr>
        <w:t>ARIFAS</w:t>
      </w:r>
      <w:r w:rsidRPr="00EC16BC">
        <w:rPr>
          <w:rFonts w:ascii="Arial" w:hAnsi="Arial" w:cs="Arial"/>
          <w:b/>
          <w:bCs/>
          <w:spacing w:val="-5"/>
          <w:sz w:val="30"/>
          <w:szCs w:val="30"/>
        </w:rPr>
        <w:t xml:space="preserve"> </w:t>
      </w:r>
      <w:r w:rsidRPr="00EC16BC">
        <w:rPr>
          <w:rFonts w:ascii="Arial" w:hAnsi="Arial" w:cs="Arial"/>
          <w:b/>
          <w:bCs/>
          <w:spacing w:val="-4"/>
          <w:sz w:val="30"/>
          <w:szCs w:val="30"/>
        </w:rPr>
        <w:t>DE</w:t>
      </w:r>
      <w:r w:rsidRPr="00EC16BC">
        <w:rPr>
          <w:rFonts w:ascii="Arial" w:hAnsi="Arial" w:cs="Arial"/>
          <w:b/>
          <w:bCs/>
          <w:spacing w:val="-16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pacing w:val="-4"/>
          <w:sz w:val="30"/>
          <w:szCs w:val="30"/>
        </w:rPr>
        <w:t>AMIGABLE COMPOSICIÓN</w:t>
      </w:r>
    </w:p>
    <w:p w14:paraId="723CE317" w14:textId="77777777" w:rsidR="00EC16BC" w:rsidRDefault="00EC16BC" w:rsidP="00EC16BC">
      <w:pPr>
        <w:pStyle w:val="Ttulo"/>
        <w:rPr>
          <w:spacing w:val="-4"/>
        </w:rPr>
      </w:pPr>
    </w:p>
    <w:tbl>
      <w:tblPr>
        <w:tblStyle w:val="TableNormal"/>
        <w:tblW w:w="12614" w:type="dxa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827"/>
        <w:gridCol w:w="2552"/>
        <w:gridCol w:w="2835"/>
      </w:tblGrid>
      <w:tr w:rsidR="00EC16BC" w14:paraId="0A915A99" w14:textId="77777777" w:rsidTr="00942FF3">
        <w:trPr>
          <w:trHeight w:val="598"/>
        </w:trPr>
        <w:tc>
          <w:tcPr>
            <w:tcW w:w="3400" w:type="dxa"/>
            <w:shd w:val="clear" w:color="auto" w:fill="D8D8D8"/>
            <w:vAlign w:val="center"/>
          </w:tcPr>
          <w:p w14:paraId="24E0D22F" w14:textId="77777777" w:rsidR="00EC16BC" w:rsidRDefault="00EC16BC" w:rsidP="00942FF3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GASTOS INICIALES</w:t>
            </w:r>
          </w:p>
        </w:tc>
        <w:tc>
          <w:tcPr>
            <w:tcW w:w="3827" w:type="dxa"/>
            <w:shd w:val="clear" w:color="auto" w:fill="D8D8D8"/>
            <w:vAlign w:val="center"/>
          </w:tcPr>
          <w:p w14:paraId="5FEC0D0B" w14:textId="77777777" w:rsidR="00EC16BC" w:rsidRDefault="00EC16BC" w:rsidP="00942FF3">
            <w:pPr>
              <w:pStyle w:val="TableParagraph"/>
              <w:spacing w:before="0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BD5322" w14:textId="77777777" w:rsidR="00EC16BC" w:rsidRDefault="00EC16BC" w:rsidP="00942FF3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2B2E05" w14:textId="77777777" w:rsidR="00EC16BC" w:rsidRDefault="00EC16BC" w:rsidP="00942FF3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EC16BC" w14:paraId="72E43BF3" w14:textId="77777777" w:rsidTr="00942FF3">
        <w:trPr>
          <w:trHeight w:val="434"/>
        </w:trPr>
        <w:tc>
          <w:tcPr>
            <w:tcW w:w="3400" w:type="dxa"/>
            <w:vAlign w:val="center"/>
          </w:tcPr>
          <w:p w14:paraId="054D5ED3" w14:textId="73C2F1C3" w:rsidR="00EC16BC" w:rsidRDefault="00EC16BC" w:rsidP="00942FF3">
            <w:pPr>
              <w:pStyle w:val="TableParagraph"/>
              <w:ind w:right="4"/>
            </w:pPr>
            <w:r w:rsidRPr="00892E23">
              <w:t>Mínima y menor (150 SMLMV)</w:t>
            </w:r>
          </w:p>
        </w:tc>
        <w:tc>
          <w:tcPr>
            <w:tcW w:w="3827" w:type="dxa"/>
            <w:vAlign w:val="center"/>
          </w:tcPr>
          <w:p w14:paraId="043B83D2" w14:textId="474397F9" w:rsidR="00EC16BC" w:rsidRPr="00892E23" w:rsidRDefault="00EC16BC" w:rsidP="00942FF3">
            <w:pPr>
              <w:pStyle w:val="TableParagraph"/>
              <w:rPr>
                <w:rFonts w:ascii="Arial"/>
                <w:bCs/>
              </w:rPr>
            </w:pPr>
            <w:r w:rsidRPr="00892E23">
              <w:rPr>
                <w:rFonts w:ascii="Arial"/>
                <w:bCs/>
              </w:rPr>
              <w:t>$</w:t>
            </w:r>
            <w:r>
              <w:rPr>
                <w:rFonts w:ascii="Arial"/>
                <w:bCs/>
              </w:rPr>
              <w:t>622.985</w:t>
            </w:r>
          </w:p>
        </w:tc>
        <w:tc>
          <w:tcPr>
            <w:tcW w:w="2552" w:type="dxa"/>
            <w:vAlign w:val="center"/>
          </w:tcPr>
          <w:p w14:paraId="7A3CC77B" w14:textId="632EBF08" w:rsidR="00EC16BC" w:rsidRPr="00892E23" w:rsidRDefault="00EC16BC" w:rsidP="00942FF3">
            <w:pPr>
              <w:pStyle w:val="TableParagraph"/>
              <w:ind w:left="0"/>
              <w:rPr>
                <w:rFonts w:ascii="Arial"/>
                <w:bCs/>
              </w:rPr>
            </w:pPr>
            <w:r w:rsidRPr="00892E23">
              <w:rPr>
                <w:rFonts w:ascii="Arial"/>
                <w:bCs/>
              </w:rPr>
              <w:t>$</w:t>
            </w:r>
            <w:r>
              <w:rPr>
                <w:rFonts w:ascii="Arial"/>
                <w:bCs/>
              </w:rPr>
              <w:t>118.367</w:t>
            </w:r>
          </w:p>
        </w:tc>
        <w:tc>
          <w:tcPr>
            <w:tcW w:w="2835" w:type="dxa"/>
            <w:vAlign w:val="center"/>
          </w:tcPr>
          <w:p w14:paraId="08BDC2BB" w14:textId="1DFB038D" w:rsidR="00EC16BC" w:rsidRDefault="00EC16BC" w:rsidP="00942FF3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</w:rPr>
              <w:t>741.352</w:t>
            </w:r>
          </w:p>
        </w:tc>
      </w:tr>
      <w:tr w:rsidR="00EC16BC" w14:paraId="2848748C" w14:textId="77777777" w:rsidTr="00942FF3">
        <w:trPr>
          <w:trHeight w:val="435"/>
        </w:trPr>
        <w:tc>
          <w:tcPr>
            <w:tcW w:w="3400" w:type="dxa"/>
            <w:shd w:val="clear" w:color="auto" w:fill="D8D8D8"/>
            <w:vAlign w:val="center"/>
          </w:tcPr>
          <w:p w14:paraId="38DCC613" w14:textId="77777777" w:rsidR="00EC16BC" w:rsidRDefault="00EC16BC" w:rsidP="00942FF3">
            <w:pPr>
              <w:pStyle w:val="TableParagraph"/>
              <w:ind w:right="1"/>
            </w:pPr>
            <w:r w:rsidRPr="00892E23">
              <w:t>Mayor cuantía (+150 SMLMV) o indeterminada</w:t>
            </w:r>
          </w:p>
        </w:tc>
        <w:tc>
          <w:tcPr>
            <w:tcW w:w="3827" w:type="dxa"/>
            <w:shd w:val="clear" w:color="auto" w:fill="D8D8D8"/>
            <w:vAlign w:val="center"/>
          </w:tcPr>
          <w:p w14:paraId="08A796DB" w14:textId="2E0DFCAA" w:rsidR="00EC16BC" w:rsidRPr="00892E23" w:rsidRDefault="00EC16BC" w:rsidP="00942FF3">
            <w:pPr>
              <w:pStyle w:val="TableParagraph"/>
              <w:ind w:left="18"/>
              <w:rPr>
                <w:rFonts w:ascii="Arial" w:hAnsi="Arial"/>
                <w:bCs/>
              </w:rPr>
            </w:pPr>
            <w:r w:rsidRPr="00892E23">
              <w:rPr>
                <w:rFonts w:ascii="Arial" w:hAnsi="Arial"/>
                <w:bCs/>
              </w:rPr>
              <w:t>$</w:t>
            </w:r>
            <w:r>
              <w:rPr>
                <w:rFonts w:ascii="Arial" w:hAnsi="Arial"/>
                <w:bCs/>
              </w:rPr>
              <w:t>1.246.220</w:t>
            </w:r>
          </w:p>
        </w:tc>
        <w:tc>
          <w:tcPr>
            <w:tcW w:w="2552" w:type="dxa"/>
            <w:shd w:val="clear" w:color="auto" w:fill="D8D8D8"/>
            <w:vAlign w:val="center"/>
          </w:tcPr>
          <w:p w14:paraId="2052FBC5" w14:textId="29F3104D" w:rsidR="00EC16BC" w:rsidRPr="00892E23" w:rsidRDefault="00EC16BC" w:rsidP="00942FF3">
            <w:pPr>
              <w:pStyle w:val="TableParagraph"/>
              <w:ind w:left="18"/>
              <w:rPr>
                <w:rFonts w:ascii="Arial" w:hAnsi="Arial"/>
                <w:bCs/>
              </w:rPr>
            </w:pPr>
            <w:r w:rsidRPr="00892E23">
              <w:rPr>
                <w:rFonts w:ascii="Arial" w:hAnsi="Arial"/>
                <w:bCs/>
              </w:rPr>
              <w:t>$</w:t>
            </w:r>
            <w:r>
              <w:rPr>
                <w:rFonts w:ascii="Arial" w:hAnsi="Arial"/>
                <w:bCs/>
              </w:rPr>
              <w:t>236.782</w:t>
            </w:r>
          </w:p>
        </w:tc>
        <w:tc>
          <w:tcPr>
            <w:tcW w:w="2835" w:type="dxa"/>
            <w:shd w:val="clear" w:color="auto" w:fill="D8D8D8"/>
            <w:vAlign w:val="center"/>
          </w:tcPr>
          <w:p w14:paraId="2A916E7D" w14:textId="465CD6A2" w:rsidR="00EC16BC" w:rsidRDefault="00EC16BC" w:rsidP="00942FF3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>
              <w:rPr>
                <w:rFonts w:ascii="Arial" w:hAnsi="Arial"/>
                <w:b/>
              </w:rPr>
              <w:t>1.483.002</w:t>
            </w:r>
          </w:p>
        </w:tc>
      </w:tr>
    </w:tbl>
    <w:p w14:paraId="7EABEF1B" w14:textId="77777777" w:rsidR="00EC16BC" w:rsidRDefault="00EC16BC" w:rsidP="00EC16BC">
      <w:pPr>
        <w:pStyle w:val="Textoindependiente"/>
        <w:spacing w:before="2"/>
        <w:rPr>
          <w:b/>
          <w:i w:val="0"/>
          <w:sz w:val="16"/>
        </w:rPr>
      </w:pPr>
    </w:p>
    <w:p w14:paraId="2500CD41" w14:textId="77777777" w:rsidR="00EC16BC" w:rsidRDefault="00EC16BC" w:rsidP="00EC16BC">
      <w:pPr>
        <w:pStyle w:val="Textoindependiente"/>
        <w:spacing w:before="2"/>
        <w:rPr>
          <w:b/>
          <w:i w:val="0"/>
          <w:sz w:val="16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6043"/>
      </w:tblGrid>
      <w:tr w:rsidR="00EC16BC" w14:paraId="20905CB2" w14:textId="77777777" w:rsidTr="00942FF3">
        <w:trPr>
          <w:trHeight w:val="1165"/>
        </w:trPr>
        <w:tc>
          <w:tcPr>
            <w:tcW w:w="6516" w:type="dxa"/>
            <w:shd w:val="clear" w:color="auto" w:fill="D8D8D8"/>
          </w:tcPr>
          <w:p w14:paraId="2ACF0690" w14:textId="77777777" w:rsidR="00EC16BC" w:rsidRDefault="00EC16BC" w:rsidP="00942FF3">
            <w:pPr>
              <w:pStyle w:val="TableParagraph"/>
              <w:spacing w:before="202"/>
              <w:ind w:left="0"/>
              <w:jc w:val="left"/>
              <w:rPr>
                <w:rFonts w:ascii="Arial"/>
                <w:b/>
              </w:rPr>
            </w:pPr>
          </w:p>
          <w:p w14:paraId="633B94E2" w14:textId="77777777" w:rsidR="00EC16BC" w:rsidRDefault="00EC16BC" w:rsidP="00942FF3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CUANTÍA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PROCESO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(UVT)</w:t>
            </w:r>
          </w:p>
        </w:tc>
        <w:tc>
          <w:tcPr>
            <w:tcW w:w="6043" w:type="dxa"/>
            <w:shd w:val="clear" w:color="auto" w:fill="D8D8D8"/>
          </w:tcPr>
          <w:p w14:paraId="7FCB8261" w14:textId="77777777" w:rsidR="00EC16BC" w:rsidRDefault="00EC16BC" w:rsidP="00942FF3">
            <w:pPr>
              <w:pStyle w:val="TableParagraph"/>
              <w:spacing w:before="202"/>
              <w:ind w:left="0"/>
              <w:jc w:val="left"/>
              <w:rPr>
                <w:rFonts w:ascii="Arial"/>
                <w:b/>
              </w:rPr>
            </w:pPr>
          </w:p>
          <w:p w14:paraId="3D55D31A" w14:textId="232E4F4D" w:rsidR="00EC16BC" w:rsidRDefault="00EC16BC" w:rsidP="00942FF3">
            <w:pPr>
              <w:pStyle w:val="TableParagraph"/>
              <w:spacing w:before="1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HONORARIOS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MÁXIMOS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</w:t>
            </w:r>
            <w:r>
              <w:rPr>
                <w:rFonts w:ascii="Arial" w:hAnsi="Arial"/>
                <w:b/>
              </w:rPr>
              <w:t>R AMIGABLE COMPONEDOR</w:t>
            </w:r>
          </w:p>
        </w:tc>
      </w:tr>
      <w:tr w:rsidR="00EC16BC" w14:paraId="5CEB2912" w14:textId="77777777" w:rsidTr="00942FF3">
        <w:trPr>
          <w:trHeight w:val="469"/>
        </w:trPr>
        <w:tc>
          <w:tcPr>
            <w:tcW w:w="6516" w:type="dxa"/>
          </w:tcPr>
          <w:p w14:paraId="5D40E0BE" w14:textId="77777777" w:rsidR="00EC16BC" w:rsidRDefault="00EC16BC" w:rsidP="00942FF3">
            <w:pPr>
              <w:pStyle w:val="TableParagraph"/>
              <w:ind w:right="4"/>
            </w:pP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250.23</w:t>
            </w:r>
          </w:p>
        </w:tc>
        <w:tc>
          <w:tcPr>
            <w:tcW w:w="6043" w:type="dxa"/>
          </w:tcPr>
          <w:p w14:paraId="1CFACF30" w14:textId="0DFA1C0D" w:rsidR="00EC16BC" w:rsidRDefault="00EC16BC" w:rsidP="00942FF3">
            <w:pPr>
              <w:pStyle w:val="TableParagraph"/>
              <w:ind w:left="25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4.17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UVT</w:t>
            </w:r>
          </w:p>
        </w:tc>
      </w:tr>
      <w:tr w:rsidR="00EC16BC" w14:paraId="7295419A" w14:textId="77777777" w:rsidTr="00942FF3">
        <w:trPr>
          <w:trHeight w:val="470"/>
        </w:trPr>
        <w:tc>
          <w:tcPr>
            <w:tcW w:w="6516" w:type="dxa"/>
            <w:shd w:val="clear" w:color="auto" w:fill="D8D8D8"/>
          </w:tcPr>
          <w:p w14:paraId="44938010" w14:textId="77777777" w:rsidR="00EC16BC" w:rsidRDefault="00EC16BC" w:rsidP="00942FF3">
            <w:pPr>
              <w:pStyle w:val="TableParagraph"/>
              <w:ind w:right="1"/>
            </w:pPr>
            <w:r>
              <w:t>Entre</w:t>
            </w:r>
            <w:r>
              <w:rPr>
                <w:spacing w:val="-2"/>
              </w:rPr>
              <w:t xml:space="preserve"> </w:t>
            </w:r>
            <w:r>
              <w:t>250.23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4404.00</w:t>
            </w:r>
          </w:p>
        </w:tc>
        <w:tc>
          <w:tcPr>
            <w:tcW w:w="6043" w:type="dxa"/>
            <w:shd w:val="clear" w:color="auto" w:fill="D8D8D8"/>
          </w:tcPr>
          <w:p w14:paraId="69A4CE8F" w14:textId="77A51E41" w:rsidR="00EC16BC" w:rsidRDefault="00EC16BC" w:rsidP="00942FF3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1,62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Cuantía</w:t>
            </w:r>
          </w:p>
        </w:tc>
      </w:tr>
      <w:tr w:rsidR="00EC16BC" w14:paraId="40586178" w14:textId="77777777" w:rsidTr="00942FF3">
        <w:trPr>
          <w:trHeight w:val="470"/>
        </w:trPr>
        <w:tc>
          <w:tcPr>
            <w:tcW w:w="6516" w:type="dxa"/>
          </w:tcPr>
          <w:p w14:paraId="6302A23C" w14:textId="77777777" w:rsidR="00EC16BC" w:rsidRDefault="00EC16BC" w:rsidP="00942FF3">
            <w:pPr>
              <w:pStyle w:val="TableParagraph"/>
              <w:ind w:right="2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4404.00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13237.03</w:t>
            </w:r>
          </w:p>
        </w:tc>
        <w:tc>
          <w:tcPr>
            <w:tcW w:w="6043" w:type="dxa"/>
          </w:tcPr>
          <w:p w14:paraId="7716CA36" w14:textId="6358BA85" w:rsidR="00EC16BC" w:rsidRDefault="00EC16BC" w:rsidP="00942FF3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1,12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Cuantía</w:t>
            </w:r>
          </w:p>
        </w:tc>
      </w:tr>
      <w:tr w:rsidR="00EC16BC" w14:paraId="23D4AE96" w14:textId="77777777" w:rsidTr="00942FF3">
        <w:trPr>
          <w:trHeight w:val="470"/>
        </w:trPr>
        <w:tc>
          <w:tcPr>
            <w:tcW w:w="6516" w:type="dxa"/>
            <w:shd w:val="clear" w:color="auto" w:fill="D8D8D8"/>
          </w:tcPr>
          <w:p w14:paraId="19A00925" w14:textId="77777777" w:rsidR="00EC16BC" w:rsidRDefault="00EC16BC" w:rsidP="00942FF3">
            <w:pPr>
              <w:pStyle w:val="TableParagraph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13237.03 e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22070.07</w:t>
            </w:r>
          </w:p>
        </w:tc>
        <w:tc>
          <w:tcPr>
            <w:tcW w:w="6043" w:type="dxa"/>
            <w:shd w:val="clear" w:color="auto" w:fill="D8D8D8"/>
          </w:tcPr>
          <w:p w14:paraId="2B8B8E09" w14:textId="1D0072B0" w:rsidR="00EC16BC" w:rsidRDefault="00EC16BC" w:rsidP="00942FF3">
            <w:pPr>
              <w:pStyle w:val="TableParagraph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Cuantía</w:t>
            </w:r>
          </w:p>
        </w:tc>
      </w:tr>
      <w:tr w:rsidR="00EC16BC" w14:paraId="4900215E" w14:textId="77777777" w:rsidTr="00942FF3">
        <w:trPr>
          <w:trHeight w:val="470"/>
        </w:trPr>
        <w:tc>
          <w:tcPr>
            <w:tcW w:w="6516" w:type="dxa"/>
          </w:tcPr>
          <w:p w14:paraId="313A76A0" w14:textId="77777777" w:rsidR="00EC16BC" w:rsidRDefault="00EC16BC" w:rsidP="00942FF3">
            <w:pPr>
              <w:pStyle w:val="TableParagraph"/>
              <w:ind w:right="3"/>
            </w:pPr>
            <w:r>
              <w:t>Más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22070.07 e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44140.13</w:t>
            </w:r>
          </w:p>
        </w:tc>
        <w:tc>
          <w:tcPr>
            <w:tcW w:w="6043" w:type="dxa"/>
          </w:tcPr>
          <w:p w14:paraId="2AE5B291" w14:textId="0AD948A3" w:rsidR="00EC16BC" w:rsidRDefault="00EC16BC" w:rsidP="00942FF3">
            <w:pPr>
              <w:pStyle w:val="TableParagraph"/>
              <w:ind w:left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0,87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Cuantía</w:t>
            </w:r>
          </w:p>
        </w:tc>
      </w:tr>
      <w:tr w:rsidR="00EC16BC" w14:paraId="27DBB54E" w14:textId="77777777" w:rsidTr="00942FF3">
        <w:trPr>
          <w:trHeight w:val="470"/>
        </w:trPr>
        <w:tc>
          <w:tcPr>
            <w:tcW w:w="6516" w:type="dxa"/>
            <w:shd w:val="clear" w:color="auto" w:fill="D8D8D8"/>
          </w:tcPr>
          <w:p w14:paraId="250CF1EF" w14:textId="77777777" w:rsidR="00EC16BC" w:rsidRDefault="00EC16BC" w:rsidP="00942FF3">
            <w:pPr>
              <w:pStyle w:val="TableParagraph"/>
              <w:ind w:right="3"/>
            </w:pPr>
            <w:r>
              <w:t>Mayor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44140.13</w:t>
            </w:r>
          </w:p>
        </w:tc>
        <w:tc>
          <w:tcPr>
            <w:tcW w:w="6043" w:type="dxa"/>
            <w:shd w:val="clear" w:color="auto" w:fill="D8D8D8"/>
          </w:tcPr>
          <w:p w14:paraId="7CAA2F0B" w14:textId="73ED1041" w:rsidR="00EC16BC" w:rsidRDefault="00EC16BC" w:rsidP="00942FF3">
            <w:pPr>
              <w:pStyle w:val="TableParagraph"/>
              <w:ind w:left="18" w:right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0,7</w:t>
            </w:r>
            <w:r>
              <w:rPr>
                <w:rFonts w:ascii="Arial" w:hAnsi="Arial"/>
                <w:b/>
              </w:rPr>
              <w:t>5%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Cuantía</w:t>
            </w:r>
          </w:p>
        </w:tc>
      </w:tr>
    </w:tbl>
    <w:p w14:paraId="32C73200" w14:textId="77777777" w:rsidR="00EC16BC" w:rsidRDefault="00EC16BC" w:rsidP="00EC16BC">
      <w:pPr>
        <w:pStyle w:val="Textoindependiente"/>
        <w:ind w:left="1416"/>
      </w:pPr>
    </w:p>
    <w:p w14:paraId="276C86C9" w14:textId="18DA31BD" w:rsidR="0010057B" w:rsidRDefault="00EC16BC" w:rsidP="00EC16BC">
      <w:pPr>
        <w:pStyle w:val="Textoindependiente"/>
        <w:spacing w:before="184"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BA9759" wp14:editId="454D1D74">
                <wp:simplePos x="0" y="0"/>
                <wp:positionH relativeFrom="column">
                  <wp:posOffset>85729</wp:posOffset>
                </wp:positionH>
                <wp:positionV relativeFrom="paragraph">
                  <wp:posOffset>233680</wp:posOffset>
                </wp:positionV>
                <wp:extent cx="9991725" cy="3086100"/>
                <wp:effectExtent l="0" t="0" r="0" b="0"/>
                <wp:wrapNone/>
                <wp:docPr id="12860994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308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9C10F" w14:textId="77777777" w:rsidR="00EC16BC" w:rsidRPr="00E430CD" w:rsidRDefault="00EC16BC" w:rsidP="00EC16BC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Las tarifas podrán ser canceladas a través de los siguientes medios:</w:t>
                            </w:r>
                          </w:p>
                          <w:p w14:paraId="55104B44" w14:textId="77777777" w:rsidR="00EC16BC" w:rsidRPr="00E430CD" w:rsidRDefault="00EC16BC" w:rsidP="00EC16BC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Transferencia o consignación a la cuenta de ahorros de Bancolombia No. 07682496911.</w:t>
                            </w:r>
                          </w:p>
                          <w:p w14:paraId="6D24626A" w14:textId="77777777" w:rsidR="00EC16BC" w:rsidRPr="00E430CD" w:rsidRDefault="00EC16BC" w:rsidP="00EC16BC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Transferencia o consignación a la cuenta corriente de Davivienda No. 076000857235.</w:t>
                            </w:r>
                          </w:p>
                          <w:p w14:paraId="27E0803C" w14:textId="77777777" w:rsidR="00EC16BC" w:rsidRDefault="00EC16BC" w:rsidP="00EC16BC">
                            <w:pPr>
                              <w:spacing w:line="256" w:lineRule="auto"/>
                              <w:ind w:left="1370" w:right="1187"/>
                              <w:rPr>
                                <w:rFonts w:ascii="Arial MT" w:hAnsi="Arial MT"/>
                              </w:rPr>
                            </w:pPr>
                            <w:r w:rsidRPr="00E430CD">
                              <w:rPr>
                                <w:rFonts w:ascii="Arial MT" w:hAnsi="Arial MT"/>
                              </w:rPr>
                              <w:t>•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 w:rsidRPr="00E430CD">
                              <w:rPr>
                                <w:rFonts w:ascii="Arial MT" w:hAnsi="Arial MT"/>
                              </w:rPr>
                              <w:t>Ventanillas de pago ubicadas en cualquiera de nuestras sedes, en los horarios de atención al público de lunes a viernes de 7:00 a.m. - 11:30 a.m. y de 2:00 p.m. 5:30 p.m.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A975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.75pt;margin-top:18.4pt;width:786.75pt;height:24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" filled="f" stroked="f">
                <v:textbox inset="0,0,0,0">
                  <w:txbxContent>
                    <w:p w14:paraId="7619C10F" w14:textId="77777777" w:rsidR="00EC16BC" w:rsidRPr="00E430CD" w:rsidRDefault="00EC16BC" w:rsidP="00EC16BC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Las tarifas podrán ser canceladas a través de los siguientes medios:</w:t>
                      </w:r>
                    </w:p>
                    <w:p w14:paraId="55104B44" w14:textId="77777777" w:rsidR="00EC16BC" w:rsidRPr="00E430CD" w:rsidRDefault="00EC16BC" w:rsidP="00EC16BC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Transferencia o consignación a la cuenta de ahorros de Bancolombia No. 07682496911.</w:t>
                      </w:r>
                    </w:p>
                    <w:p w14:paraId="6D24626A" w14:textId="77777777" w:rsidR="00EC16BC" w:rsidRPr="00E430CD" w:rsidRDefault="00EC16BC" w:rsidP="00EC16BC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Transferencia o consignación a la cuenta corriente de Davivienda No. 076000857235.</w:t>
                      </w:r>
                    </w:p>
                    <w:p w14:paraId="27E0803C" w14:textId="77777777" w:rsidR="00EC16BC" w:rsidRDefault="00EC16BC" w:rsidP="00EC16BC">
                      <w:pPr>
                        <w:spacing w:line="256" w:lineRule="auto"/>
                        <w:ind w:left="1370" w:right="1187"/>
                        <w:rPr>
                          <w:rFonts w:ascii="Arial MT" w:hAnsi="Arial MT"/>
                        </w:rPr>
                      </w:pPr>
                      <w:r w:rsidRPr="00E430CD">
                        <w:rPr>
                          <w:rFonts w:ascii="Arial MT" w:hAnsi="Arial MT"/>
                        </w:rPr>
                        <w:t>•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 w:rsidRPr="00E430CD">
                        <w:rPr>
                          <w:rFonts w:ascii="Arial MT" w:hAnsi="Arial MT"/>
                        </w:rPr>
                        <w:t>Ventanillas de pago ubicadas en cualquiera de nuestras sedes, en los horarios de atención al público de lunes a viernes de 7:00 a.m. - 11:30 a.m. y de 2:00 p.m. 5:30 p.m.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57B" w:rsidSect="00EC16BC">
      <w:pgSz w:w="15840" w:h="12240" w:orient="landscape"/>
      <w:pgMar w:top="4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BC"/>
    <w:rsid w:val="0010057B"/>
    <w:rsid w:val="00752ACD"/>
    <w:rsid w:val="00EC16BC"/>
    <w:rsid w:val="00F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9B15"/>
  <w15:chartTrackingRefBased/>
  <w15:docId w15:val="{3B26391F-BF00-4A7D-AB52-657A6EE2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16B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16B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16B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6B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16B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6B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16B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16B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16B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16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1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16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6B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16B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6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16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16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16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16B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1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1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16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16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16B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16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16B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16B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16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16BC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16BC"/>
    <w:rPr>
      <w:rFonts w:ascii="Arial" w:eastAsia="Arial" w:hAnsi="Arial" w:cs="Arial"/>
      <w:i/>
      <w:iCs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16BC"/>
    <w:pPr>
      <w:spacing w:before="108"/>
      <w:ind w:left="20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Stefanía Tovar Medina</dc:creator>
  <cp:keywords/>
  <dc:description/>
  <cp:lastModifiedBy>Ariana Stefanía Tovar Medina</cp:lastModifiedBy>
  <cp:revision>1</cp:revision>
  <dcterms:created xsi:type="dcterms:W3CDTF">2025-01-21T19:35:00Z</dcterms:created>
  <dcterms:modified xsi:type="dcterms:W3CDTF">2025-01-21T19:41:00Z</dcterms:modified>
</cp:coreProperties>
</file>