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AFEF" w14:textId="3E4CF6D5" w:rsidR="00BE4D15" w:rsidRPr="00BE4D15" w:rsidRDefault="00BE4D15" w:rsidP="00BE4D15">
      <w:pPr>
        <w:widowControl w:val="0"/>
        <w:tabs>
          <w:tab w:val="left" w:pos="12861"/>
        </w:tabs>
        <w:autoSpaceDE w:val="0"/>
        <w:autoSpaceDN w:val="0"/>
        <w:spacing w:after="0" w:line="240" w:lineRule="auto"/>
        <w:ind w:left="512"/>
        <w:rPr>
          <w:rFonts w:ascii="Times New Roman" w:eastAsia="Arial" w:hAnsi="Arial" w:cs="Arial"/>
          <w:kern w:val="0"/>
          <w:position w:val="12"/>
          <w:sz w:val="20"/>
          <w:lang w:val="es-ES"/>
          <w14:ligatures w14:val="none"/>
        </w:rPr>
      </w:pPr>
      <w:r w:rsidRPr="00BE4D15">
        <w:rPr>
          <w:rFonts w:ascii="Times New Roman" w:eastAsia="Arial" w:hAnsi="Arial" w:cs="Arial"/>
          <w:kern w:val="0"/>
          <w:sz w:val="20"/>
          <w:lang w:val="es-ES"/>
          <w14:ligatures w14:val="none"/>
        </w:rPr>
        <w:tab/>
      </w:r>
    </w:p>
    <w:p w14:paraId="622F74B8" w14:textId="77777777" w:rsidR="00416A42" w:rsidRDefault="00416A42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</w:pPr>
    </w:p>
    <w:p w14:paraId="24937D72" w14:textId="77777777" w:rsidR="00416A42" w:rsidRDefault="00416A42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</w:pPr>
    </w:p>
    <w:p w14:paraId="43757392" w14:textId="77777777" w:rsidR="00416A42" w:rsidRDefault="00416A42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</w:pPr>
    </w:p>
    <w:p w14:paraId="0BAA41A3" w14:textId="60206D66" w:rsidR="00BE4D15" w:rsidRDefault="00BE4D15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</w:pPr>
      <w:r w:rsidRPr="00BE4D15"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  <w:t>TARIFAS</w:t>
      </w:r>
      <w:r w:rsidRPr="00BE4D15">
        <w:rPr>
          <w:rFonts w:ascii="Arial" w:eastAsia="Arial" w:hAnsi="Arial" w:cs="Arial"/>
          <w:b/>
          <w:bCs/>
          <w:spacing w:val="-5"/>
          <w:kern w:val="0"/>
          <w:sz w:val="30"/>
          <w:szCs w:val="3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  <w:t>DE</w:t>
      </w:r>
      <w:r w:rsidRPr="00BE4D15">
        <w:rPr>
          <w:rFonts w:ascii="Arial" w:eastAsia="Arial" w:hAnsi="Arial" w:cs="Arial"/>
          <w:b/>
          <w:bCs/>
          <w:spacing w:val="-16"/>
          <w:kern w:val="0"/>
          <w:sz w:val="30"/>
          <w:szCs w:val="3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  <w:t>ARBITRAJE</w:t>
      </w:r>
      <w:r w:rsidR="00AD1567"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  <w:t xml:space="preserve"> ABREVIADO</w:t>
      </w:r>
      <w:r w:rsidR="001267D3">
        <w:rPr>
          <w:rFonts w:ascii="Arial" w:eastAsia="Arial" w:hAnsi="Arial" w:cs="Arial"/>
          <w:b/>
          <w:bCs/>
          <w:spacing w:val="-4"/>
          <w:kern w:val="0"/>
          <w:sz w:val="30"/>
          <w:szCs w:val="30"/>
          <w:lang w:val="es-ES"/>
          <w14:ligatures w14:val="none"/>
        </w:rPr>
        <w:t xml:space="preserve"> </w:t>
      </w:r>
    </w:p>
    <w:p w14:paraId="6017944C" w14:textId="77777777" w:rsidR="00BE4D15" w:rsidRDefault="00BE4D15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kern w:val="0"/>
          <w:sz w:val="30"/>
          <w:szCs w:val="30"/>
          <w:lang w:val="es-ES"/>
          <w14:ligatures w14:val="none"/>
        </w:rPr>
      </w:pPr>
    </w:p>
    <w:p w14:paraId="3FD3913C" w14:textId="77777777" w:rsidR="001267D3" w:rsidRDefault="001267D3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kern w:val="0"/>
          <w:sz w:val="30"/>
          <w:szCs w:val="30"/>
          <w:lang w:val="es-ES"/>
          <w14:ligatures w14:val="none"/>
        </w:rPr>
      </w:pPr>
    </w:p>
    <w:tbl>
      <w:tblPr>
        <w:tblStyle w:val="TableNormal"/>
        <w:tblW w:w="12614" w:type="dxa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827"/>
        <w:gridCol w:w="2552"/>
        <w:gridCol w:w="2835"/>
      </w:tblGrid>
      <w:tr w:rsidR="001267D3" w14:paraId="30D03A87" w14:textId="77777777" w:rsidTr="00942FF3">
        <w:trPr>
          <w:trHeight w:val="598"/>
        </w:trPr>
        <w:tc>
          <w:tcPr>
            <w:tcW w:w="3400" w:type="dxa"/>
            <w:vMerge w:val="restart"/>
            <w:shd w:val="clear" w:color="auto" w:fill="D8D8D8"/>
            <w:vAlign w:val="center"/>
          </w:tcPr>
          <w:p w14:paraId="708A2E37" w14:textId="77777777" w:rsidR="001267D3" w:rsidRDefault="001267D3" w:rsidP="00942FF3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GASTOS INICIALES</w:t>
            </w:r>
          </w:p>
        </w:tc>
        <w:tc>
          <w:tcPr>
            <w:tcW w:w="3827" w:type="dxa"/>
            <w:shd w:val="clear" w:color="auto" w:fill="D8D8D8"/>
            <w:vAlign w:val="center"/>
          </w:tcPr>
          <w:p w14:paraId="001BF7C9" w14:textId="77777777" w:rsidR="001267D3" w:rsidRDefault="001267D3" w:rsidP="00942FF3">
            <w:pPr>
              <w:pStyle w:val="TableParagraph"/>
              <w:spacing w:before="0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FD7A9D" w14:textId="77777777" w:rsidR="001267D3" w:rsidRDefault="001267D3" w:rsidP="00942FF3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55B366" w14:textId="77777777" w:rsidR="001267D3" w:rsidRDefault="001267D3" w:rsidP="00942FF3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1267D3" w14:paraId="542AEF3D" w14:textId="77777777" w:rsidTr="00942FF3">
        <w:trPr>
          <w:trHeight w:val="434"/>
        </w:trPr>
        <w:tc>
          <w:tcPr>
            <w:tcW w:w="3400" w:type="dxa"/>
            <w:vMerge/>
            <w:vAlign w:val="center"/>
          </w:tcPr>
          <w:p w14:paraId="3F622B27" w14:textId="7B1E6E46" w:rsidR="001267D3" w:rsidRDefault="001267D3" w:rsidP="00942FF3">
            <w:pPr>
              <w:pStyle w:val="TableParagraph"/>
              <w:ind w:right="4"/>
            </w:pPr>
          </w:p>
        </w:tc>
        <w:tc>
          <w:tcPr>
            <w:tcW w:w="3827" w:type="dxa"/>
            <w:vAlign w:val="center"/>
          </w:tcPr>
          <w:p w14:paraId="341E5667" w14:textId="10CBAA11" w:rsidR="001267D3" w:rsidRPr="00892E23" w:rsidRDefault="001267D3" w:rsidP="00942FF3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$1.423.500</w:t>
            </w:r>
          </w:p>
        </w:tc>
        <w:tc>
          <w:tcPr>
            <w:tcW w:w="2552" w:type="dxa"/>
            <w:vAlign w:val="center"/>
          </w:tcPr>
          <w:p w14:paraId="0AE58217" w14:textId="6642829D" w:rsidR="001267D3" w:rsidRPr="00892E23" w:rsidRDefault="001267D3" w:rsidP="00942FF3">
            <w:pPr>
              <w:pStyle w:val="TableParagraph"/>
              <w:ind w:left="0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$270.465</w:t>
            </w:r>
          </w:p>
        </w:tc>
        <w:tc>
          <w:tcPr>
            <w:tcW w:w="2835" w:type="dxa"/>
            <w:vAlign w:val="center"/>
          </w:tcPr>
          <w:p w14:paraId="21BC6993" w14:textId="7FFD2E76" w:rsidR="001267D3" w:rsidRDefault="001267D3" w:rsidP="00942FF3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 w:rsidRPr="001267D3">
              <w:rPr>
                <w:rFonts w:ascii="Arial"/>
                <w:b/>
              </w:rPr>
              <w:t>1.693.965</w:t>
            </w:r>
          </w:p>
        </w:tc>
      </w:tr>
    </w:tbl>
    <w:p w14:paraId="2FC34065" w14:textId="77777777" w:rsidR="001267D3" w:rsidRPr="00BE4D15" w:rsidRDefault="001267D3" w:rsidP="00BE4D15">
      <w:pPr>
        <w:widowControl w:val="0"/>
        <w:autoSpaceDE w:val="0"/>
        <w:autoSpaceDN w:val="0"/>
        <w:spacing w:before="30" w:after="0" w:line="240" w:lineRule="auto"/>
        <w:ind w:left="1"/>
        <w:jc w:val="center"/>
        <w:rPr>
          <w:rFonts w:ascii="Arial" w:eastAsia="Arial" w:hAnsi="Arial" w:cs="Arial"/>
          <w:b/>
          <w:bCs/>
          <w:kern w:val="0"/>
          <w:sz w:val="30"/>
          <w:szCs w:val="30"/>
          <w:lang w:val="es-ES"/>
          <w14:ligatures w14:val="none"/>
        </w:rPr>
      </w:pPr>
    </w:p>
    <w:p w14:paraId="1DA4CD94" w14:textId="77777777" w:rsidR="00BE4D15" w:rsidRPr="00BE4D15" w:rsidRDefault="00BE4D15" w:rsidP="00BE4D1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iCs/>
          <w:kern w:val="0"/>
          <w:sz w:val="16"/>
          <w:lang w:val="es-ES"/>
          <w14:ligatures w14:val="none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6043"/>
      </w:tblGrid>
      <w:tr w:rsidR="00BE4D15" w:rsidRPr="00BE4D15" w14:paraId="1E2AF61C" w14:textId="77777777" w:rsidTr="009458A7">
        <w:trPr>
          <w:trHeight w:val="1165"/>
        </w:trPr>
        <w:tc>
          <w:tcPr>
            <w:tcW w:w="6516" w:type="dxa"/>
            <w:shd w:val="clear" w:color="auto" w:fill="D8D8D8"/>
          </w:tcPr>
          <w:p w14:paraId="566F658E" w14:textId="77777777" w:rsidR="00BE4D15" w:rsidRPr="00BE4D15" w:rsidRDefault="00BE4D15" w:rsidP="00BE4D15">
            <w:pPr>
              <w:spacing w:before="202"/>
              <w:rPr>
                <w:rFonts w:ascii="Arial" w:eastAsia="Arial MT" w:hAnsi="Arial MT" w:cs="Arial MT"/>
                <w:b/>
                <w:lang w:val="es-ES"/>
              </w:rPr>
            </w:pPr>
          </w:p>
          <w:p w14:paraId="0A97DAAC" w14:textId="77777777" w:rsidR="00BE4D15" w:rsidRPr="00BE4D15" w:rsidRDefault="00BE4D15" w:rsidP="00BE4D15">
            <w:pPr>
              <w:spacing w:before="1"/>
              <w:ind w:left="20"/>
              <w:jc w:val="center"/>
              <w:rPr>
                <w:rFonts w:ascii="Arial" w:eastAsia="Arial MT" w:hAnsi="Arial" w:cs="Arial MT"/>
                <w:b/>
                <w:lang w:val="es-ES"/>
              </w:rPr>
            </w:pPr>
            <w:r w:rsidRPr="00BE4D15">
              <w:rPr>
                <w:rFonts w:ascii="Arial" w:eastAsia="Arial MT" w:hAnsi="Arial" w:cs="Arial MT"/>
                <w:b/>
                <w:lang w:val="es-ES"/>
              </w:rPr>
              <w:t>CUANTÍA</w:t>
            </w:r>
            <w:r w:rsidRPr="00BE4D15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DEL</w:t>
            </w:r>
            <w:r w:rsidRPr="00BE4D15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PROCESO</w:t>
            </w:r>
            <w:r w:rsidRPr="00BE4D15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spacing w:val="-4"/>
                <w:lang w:val="es-ES"/>
              </w:rPr>
              <w:t>(UVT)</w:t>
            </w:r>
          </w:p>
        </w:tc>
        <w:tc>
          <w:tcPr>
            <w:tcW w:w="6043" w:type="dxa"/>
            <w:shd w:val="clear" w:color="auto" w:fill="D8D8D8"/>
          </w:tcPr>
          <w:p w14:paraId="7EACA30A" w14:textId="77777777" w:rsidR="00BE4D15" w:rsidRPr="00BE4D15" w:rsidRDefault="00BE4D15" w:rsidP="00BE4D15">
            <w:pPr>
              <w:spacing w:before="202"/>
              <w:rPr>
                <w:rFonts w:ascii="Arial" w:eastAsia="Arial MT" w:hAnsi="Arial MT" w:cs="Arial MT"/>
                <w:b/>
                <w:lang w:val="es-ES"/>
              </w:rPr>
            </w:pPr>
          </w:p>
          <w:p w14:paraId="3FF7BD6E" w14:textId="77777777" w:rsidR="00BE4D15" w:rsidRPr="00BE4D15" w:rsidRDefault="00BE4D15" w:rsidP="00BE4D15">
            <w:pPr>
              <w:spacing w:before="1"/>
              <w:ind w:left="18" w:right="1"/>
              <w:jc w:val="center"/>
              <w:rPr>
                <w:rFonts w:ascii="Arial" w:eastAsia="Arial MT" w:hAnsi="Arial" w:cs="Arial MT"/>
                <w:b/>
                <w:lang w:val="es-ES"/>
              </w:rPr>
            </w:pPr>
            <w:r w:rsidRPr="00BE4D15">
              <w:rPr>
                <w:rFonts w:ascii="Arial" w:eastAsia="Arial MT" w:hAnsi="Arial" w:cs="Arial MT"/>
                <w:b/>
                <w:lang w:val="es-ES"/>
              </w:rPr>
              <w:t>HONORARIOS</w:t>
            </w:r>
            <w:r w:rsidRPr="00BE4D15">
              <w:rPr>
                <w:rFonts w:ascii="Arial" w:eastAsia="Arial MT" w:hAnsi="Arial" w:cs="Arial MT"/>
                <w:b/>
                <w:spacing w:val="-6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MÁXIMOS</w:t>
            </w:r>
            <w:r w:rsidRPr="00BE4D15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POR</w:t>
            </w:r>
            <w:r w:rsidRPr="00BE4D15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spacing w:val="-2"/>
                <w:lang w:val="es-ES"/>
              </w:rPr>
              <w:t>ÁRBITRO</w:t>
            </w:r>
          </w:p>
        </w:tc>
      </w:tr>
      <w:tr w:rsidR="00BE4D15" w:rsidRPr="00BE4D15" w14:paraId="24770629" w14:textId="77777777" w:rsidTr="009458A7">
        <w:trPr>
          <w:trHeight w:val="469"/>
        </w:trPr>
        <w:tc>
          <w:tcPr>
            <w:tcW w:w="6516" w:type="dxa"/>
          </w:tcPr>
          <w:p w14:paraId="71305F25" w14:textId="4B79C5D3" w:rsidR="00BE4D15" w:rsidRPr="00BE4D15" w:rsidRDefault="00BE4D15" w:rsidP="00BE4D15">
            <w:pPr>
              <w:spacing w:before="108"/>
              <w:ind w:left="20" w:right="4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BE4D15">
              <w:rPr>
                <w:rFonts w:ascii="Arial MT" w:eastAsia="Arial MT" w:hAnsi="Arial MT" w:cs="Arial MT"/>
                <w:lang w:val="es-ES"/>
              </w:rPr>
              <w:t>Menos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de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>250</w:t>
            </w:r>
          </w:p>
        </w:tc>
        <w:tc>
          <w:tcPr>
            <w:tcW w:w="6043" w:type="dxa"/>
          </w:tcPr>
          <w:p w14:paraId="67BEF983" w14:textId="240C1B0A" w:rsidR="00BE4D15" w:rsidRPr="00BE4D15" w:rsidRDefault="00BE4D15" w:rsidP="00BE4D15">
            <w:pPr>
              <w:spacing w:before="108"/>
              <w:ind w:left="2558"/>
              <w:rPr>
                <w:rFonts w:ascii="Arial" w:eastAsia="Arial MT" w:hAnsi="Arial MT" w:cs="Arial MT"/>
                <w:b/>
                <w:lang w:val="es-ES"/>
              </w:rPr>
            </w:pPr>
            <w:r>
              <w:rPr>
                <w:rFonts w:ascii="Arial" w:eastAsia="Arial MT" w:hAnsi="Arial MT" w:cs="Arial MT"/>
                <w:b/>
                <w:lang w:val="es-ES"/>
              </w:rPr>
              <w:t>6</w:t>
            </w:r>
            <w:r w:rsidRPr="00BE4D15">
              <w:rPr>
                <w:rFonts w:ascii="Arial" w:eastAsia="Arial MT" w:hAnsi="Arial MT" w:cs="Arial MT"/>
                <w:b/>
                <w:spacing w:val="-4"/>
                <w:lang w:val="es-ES"/>
              </w:rPr>
              <w:t xml:space="preserve"> </w:t>
            </w:r>
            <w:r w:rsidRPr="00BE4D15">
              <w:rPr>
                <w:rFonts w:ascii="Arial" w:eastAsia="Arial MT" w:hAnsi="Arial MT" w:cs="Arial MT"/>
                <w:b/>
                <w:spacing w:val="-5"/>
                <w:lang w:val="es-ES"/>
              </w:rPr>
              <w:t>UVT</w:t>
            </w:r>
          </w:p>
        </w:tc>
      </w:tr>
      <w:tr w:rsidR="00BE4D15" w:rsidRPr="00BE4D15" w14:paraId="0772B88E" w14:textId="77777777" w:rsidTr="009458A7">
        <w:trPr>
          <w:trHeight w:val="470"/>
        </w:trPr>
        <w:tc>
          <w:tcPr>
            <w:tcW w:w="6516" w:type="dxa"/>
            <w:shd w:val="clear" w:color="auto" w:fill="D8D8D8"/>
          </w:tcPr>
          <w:p w14:paraId="05341822" w14:textId="6CA78061" w:rsidR="00BE4D15" w:rsidRPr="00BE4D15" w:rsidRDefault="00BE4D15" w:rsidP="00BE4D15">
            <w:pPr>
              <w:spacing w:before="108"/>
              <w:ind w:left="20" w:right="1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BE4D15">
              <w:rPr>
                <w:rFonts w:ascii="Arial MT" w:eastAsia="Arial MT" w:hAnsi="Arial MT" w:cs="Arial MT"/>
                <w:lang w:val="es-ES"/>
              </w:rPr>
              <w:t>Entre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250</w:t>
            </w:r>
            <w:r w:rsidRPr="00BE4D15">
              <w:rPr>
                <w:rFonts w:ascii="Arial MT" w:eastAsia="Arial MT" w:hAnsi="Arial MT" w:cs="Arial MT"/>
                <w:spacing w:val="-5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e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igual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a</w:t>
            </w:r>
            <w:r w:rsidRPr="00BE4D15">
              <w:rPr>
                <w:rFonts w:ascii="Arial MT" w:eastAsia="Arial MT" w:hAnsi="Arial MT" w:cs="Arial MT"/>
                <w:spacing w:val="-4"/>
                <w:lang w:val="es-ES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lang w:val="es-ES"/>
              </w:rPr>
              <w:t>700</w:t>
            </w:r>
          </w:p>
        </w:tc>
        <w:tc>
          <w:tcPr>
            <w:tcW w:w="6043" w:type="dxa"/>
            <w:shd w:val="clear" w:color="auto" w:fill="D8D8D8"/>
          </w:tcPr>
          <w:p w14:paraId="3A8E7D89" w14:textId="3CA71717" w:rsidR="00BE4D15" w:rsidRPr="00BE4D15" w:rsidRDefault="00BE4D15" w:rsidP="00BE4D15">
            <w:pPr>
              <w:spacing w:before="108"/>
              <w:ind w:left="18"/>
              <w:jc w:val="center"/>
              <w:rPr>
                <w:rFonts w:ascii="Arial" w:eastAsia="Arial MT" w:hAnsi="Arial" w:cs="Arial MT"/>
                <w:b/>
                <w:lang w:val="es-ES"/>
              </w:rPr>
            </w:pPr>
            <w:r>
              <w:rPr>
                <w:rFonts w:ascii="Arial" w:eastAsia="Arial MT" w:hAnsi="Arial" w:cs="Arial MT"/>
                <w:b/>
                <w:lang w:val="es-ES"/>
              </w:rPr>
              <w:t>2,5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%</w:t>
            </w:r>
            <w:r w:rsidRPr="00BE4D15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de</w:t>
            </w:r>
            <w:r w:rsidRPr="00BE4D15">
              <w:rPr>
                <w:rFonts w:ascii="Arial" w:eastAsia="Arial MT" w:hAnsi="Arial" w:cs="Arial MT"/>
                <w:b/>
                <w:spacing w:val="-3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la</w:t>
            </w:r>
            <w:r w:rsidRPr="00BE4D15">
              <w:rPr>
                <w:rFonts w:ascii="Arial" w:eastAsia="Arial MT" w:hAnsi="Arial" w:cs="Arial MT"/>
                <w:b/>
                <w:spacing w:val="2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spacing w:val="-2"/>
                <w:lang w:val="es-ES"/>
              </w:rPr>
              <w:t>Cuantía</w:t>
            </w:r>
          </w:p>
        </w:tc>
      </w:tr>
      <w:tr w:rsidR="00BE4D15" w:rsidRPr="00BE4D15" w14:paraId="5D718FC7" w14:textId="77777777" w:rsidTr="009458A7">
        <w:trPr>
          <w:trHeight w:val="470"/>
        </w:trPr>
        <w:tc>
          <w:tcPr>
            <w:tcW w:w="6516" w:type="dxa"/>
          </w:tcPr>
          <w:p w14:paraId="571ED383" w14:textId="1A9C4A8F" w:rsidR="00BE4D15" w:rsidRPr="00BE4D15" w:rsidRDefault="00BE4D15" w:rsidP="00BE4D15">
            <w:pPr>
              <w:spacing w:before="108"/>
              <w:ind w:left="20" w:right="2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BE4D15">
              <w:rPr>
                <w:rFonts w:ascii="Arial MT" w:eastAsia="Arial MT" w:hAnsi="Arial MT" w:cs="Arial MT"/>
                <w:lang w:val="es-ES"/>
              </w:rPr>
              <w:t>Más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de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>
              <w:rPr>
                <w:rFonts w:ascii="Arial MT" w:eastAsia="Arial MT" w:hAnsi="Arial MT" w:cs="Arial MT"/>
                <w:lang w:val="es-ES"/>
              </w:rPr>
              <w:t>700</w:t>
            </w:r>
            <w:r w:rsidRPr="00BE4D15">
              <w:rPr>
                <w:rFonts w:ascii="Arial MT" w:eastAsia="Arial MT" w:hAnsi="Arial MT" w:cs="Arial MT"/>
                <w:spacing w:val="-1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e</w:t>
            </w:r>
            <w:r w:rsidRPr="00BE4D15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igual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a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</w:t>
            </w:r>
            <w:r>
              <w:rPr>
                <w:rFonts w:ascii="Arial MT" w:eastAsia="Arial MT" w:hAnsi="Arial MT" w:cs="Arial MT"/>
                <w:spacing w:val="-2"/>
                <w:lang w:val="es-ES"/>
              </w:rPr>
              <w:t>1500</w:t>
            </w:r>
          </w:p>
        </w:tc>
        <w:tc>
          <w:tcPr>
            <w:tcW w:w="6043" w:type="dxa"/>
          </w:tcPr>
          <w:p w14:paraId="54A51DB5" w14:textId="070BA3E4" w:rsidR="00BE4D15" w:rsidRPr="00BE4D15" w:rsidRDefault="00BE4D15" w:rsidP="00BE4D15">
            <w:pPr>
              <w:spacing w:before="108"/>
              <w:ind w:left="18"/>
              <w:jc w:val="center"/>
              <w:rPr>
                <w:rFonts w:ascii="Arial" w:eastAsia="Arial MT" w:hAnsi="Arial" w:cs="Arial MT"/>
                <w:b/>
                <w:lang w:val="es-ES"/>
              </w:rPr>
            </w:pPr>
            <w:r w:rsidRPr="00BE4D15">
              <w:rPr>
                <w:rFonts w:ascii="Arial" w:eastAsia="Arial MT" w:hAnsi="Arial" w:cs="Arial MT"/>
                <w:b/>
                <w:lang w:val="es-ES"/>
              </w:rPr>
              <w:t>2,</w:t>
            </w:r>
            <w:r>
              <w:rPr>
                <w:rFonts w:ascii="Arial" w:eastAsia="Arial MT" w:hAnsi="Arial" w:cs="Arial MT"/>
                <w:b/>
                <w:lang w:val="es-ES"/>
              </w:rPr>
              <w:t>7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5%</w:t>
            </w:r>
            <w:r w:rsidRPr="00BE4D15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de</w:t>
            </w:r>
            <w:r w:rsidRPr="00BE4D15">
              <w:rPr>
                <w:rFonts w:ascii="Arial" w:eastAsia="Arial MT" w:hAnsi="Arial" w:cs="Arial MT"/>
                <w:b/>
                <w:spacing w:val="-3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la</w:t>
            </w:r>
            <w:r w:rsidRPr="00BE4D15">
              <w:rPr>
                <w:rFonts w:ascii="Arial" w:eastAsia="Arial MT" w:hAnsi="Arial" w:cs="Arial MT"/>
                <w:b/>
                <w:spacing w:val="2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spacing w:val="-2"/>
                <w:lang w:val="es-ES"/>
              </w:rPr>
              <w:t>Cuantía</w:t>
            </w:r>
          </w:p>
        </w:tc>
      </w:tr>
      <w:tr w:rsidR="00BE4D15" w:rsidRPr="00BE4D15" w14:paraId="5F2AAC41" w14:textId="77777777" w:rsidTr="009458A7">
        <w:trPr>
          <w:trHeight w:val="470"/>
        </w:trPr>
        <w:tc>
          <w:tcPr>
            <w:tcW w:w="6516" w:type="dxa"/>
            <w:shd w:val="clear" w:color="auto" w:fill="D8D8D8"/>
          </w:tcPr>
          <w:p w14:paraId="68A5BC21" w14:textId="51D7B641" w:rsidR="00BE4D15" w:rsidRPr="00BE4D15" w:rsidRDefault="00BE4D15" w:rsidP="00BE4D15">
            <w:pPr>
              <w:spacing w:before="108"/>
              <w:ind w:left="20" w:right="3"/>
              <w:jc w:val="center"/>
              <w:rPr>
                <w:rFonts w:ascii="Arial MT" w:eastAsia="Arial MT" w:hAnsi="Arial MT" w:cs="Arial MT"/>
                <w:lang w:val="es-ES"/>
              </w:rPr>
            </w:pPr>
            <w:r w:rsidRPr="00BE4D15">
              <w:rPr>
                <w:rFonts w:ascii="Arial MT" w:eastAsia="Arial MT" w:hAnsi="Arial MT" w:cs="Arial MT"/>
                <w:lang w:val="es-ES"/>
              </w:rPr>
              <w:t>Más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de</w:t>
            </w:r>
            <w:r>
              <w:rPr>
                <w:rFonts w:ascii="Arial MT" w:eastAsia="Arial MT" w:hAnsi="Arial MT" w:cs="Arial MT"/>
                <w:lang w:val="es-ES"/>
              </w:rPr>
              <w:t xml:space="preserve"> 1500</w:t>
            </w:r>
            <w:r w:rsidRPr="00BE4D15">
              <w:rPr>
                <w:rFonts w:ascii="Arial MT" w:eastAsia="Arial MT" w:hAnsi="Arial MT" w:cs="Arial MT"/>
                <w:lang w:val="es-ES"/>
              </w:rPr>
              <w:t xml:space="preserve"> e</w:t>
            </w:r>
            <w:r w:rsidRPr="00BE4D15">
              <w:rPr>
                <w:rFonts w:ascii="Arial MT" w:eastAsia="Arial MT" w:hAnsi="Arial MT" w:cs="Arial MT"/>
                <w:spacing w:val="-6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igual</w:t>
            </w:r>
            <w:r w:rsidRPr="00BE4D15">
              <w:rPr>
                <w:rFonts w:ascii="Arial MT" w:eastAsia="Arial MT" w:hAnsi="Arial MT" w:cs="Arial MT"/>
                <w:spacing w:val="-3"/>
                <w:lang w:val="es-ES"/>
              </w:rPr>
              <w:t xml:space="preserve"> </w:t>
            </w:r>
            <w:r w:rsidRPr="00BE4D15">
              <w:rPr>
                <w:rFonts w:ascii="Arial MT" w:eastAsia="Arial MT" w:hAnsi="Arial MT" w:cs="Arial MT"/>
                <w:lang w:val="es-ES"/>
              </w:rPr>
              <w:t>a</w:t>
            </w:r>
            <w:r w:rsidRPr="00BE4D15">
              <w:rPr>
                <w:rFonts w:ascii="Arial MT" w:eastAsia="Arial MT" w:hAnsi="Arial MT" w:cs="Arial MT"/>
                <w:spacing w:val="-2"/>
                <w:lang w:val="es-ES"/>
              </w:rPr>
              <w:t xml:space="preserve"> 2</w:t>
            </w:r>
            <w:r>
              <w:rPr>
                <w:rFonts w:ascii="Arial MT" w:eastAsia="Arial MT" w:hAnsi="Arial MT" w:cs="Arial MT"/>
                <w:spacing w:val="-2"/>
                <w:lang w:val="es-ES"/>
              </w:rPr>
              <w:t>400</w:t>
            </w:r>
          </w:p>
        </w:tc>
        <w:tc>
          <w:tcPr>
            <w:tcW w:w="6043" w:type="dxa"/>
            <w:shd w:val="clear" w:color="auto" w:fill="D8D8D8"/>
          </w:tcPr>
          <w:p w14:paraId="392F1AFA" w14:textId="1BE044A6" w:rsidR="00BE4D15" w:rsidRPr="00BE4D15" w:rsidRDefault="00BE4D15" w:rsidP="00BE4D15">
            <w:pPr>
              <w:spacing w:before="108"/>
              <w:ind w:left="18" w:right="1"/>
              <w:jc w:val="center"/>
              <w:rPr>
                <w:rFonts w:ascii="Arial" w:eastAsia="Arial MT" w:hAnsi="Arial" w:cs="Arial MT"/>
                <w:b/>
                <w:lang w:val="es-ES"/>
              </w:rPr>
            </w:pPr>
            <w:r>
              <w:rPr>
                <w:rFonts w:ascii="Arial" w:eastAsia="Arial MT" w:hAnsi="Arial" w:cs="Arial MT"/>
                <w:b/>
                <w:lang w:val="es-ES"/>
              </w:rPr>
              <w:t>3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%</w:t>
            </w:r>
            <w:r w:rsidRPr="00BE4D15">
              <w:rPr>
                <w:rFonts w:ascii="Arial" w:eastAsia="Arial MT" w:hAnsi="Arial" w:cs="Arial MT"/>
                <w:b/>
                <w:spacing w:val="2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de</w:t>
            </w:r>
            <w:r w:rsidRPr="00BE4D15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BE4D15">
              <w:rPr>
                <w:rFonts w:ascii="Arial" w:eastAsia="Arial MT" w:hAnsi="Arial" w:cs="Arial MT"/>
                <w:b/>
                <w:lang w:val="es-ES"/>
              </w:rPr>
              <w:t>la</w:t>
            </w:r>
            <w:r w:rsidRPr="00BE4D15">
              <w:rPr>
                <w:rFonts w:ascii="Arial" w:eastAsia="Arial MT" w:hAnsi="Arial" w:cs="Arial MT"/>
                <w:b/>
                <w:spacing w:val="-2"/>
                <w:lang w:val="es-ES"/>
              </w:rPr>
              <w:t xml:space="preserve"> Cuantía</w:t>
            </w:r>
          </w:p>
        </w:tc>
      </w:tr>
    </w:tbl>
    <w:p w14:paraId="40259036" w14:textId="77777777" w:rsidR="00BE4D15" w:rsidRDefault="00BE4D15" w:rsidP="00BE4D15">
      <w:pPr>
        <w:widowControl w:val="0"/>
        <w:autoSpaceDE w:val="0"/>
        <w:autoSpaceDN w:val="0"/>
        <w:spacing w:after="0" w:line="240" w:lineRule="auto"/>
        <w:ind w:left="1416"/>
        <w:rPr>
          <w:rFonts w:ascii="Arial" w:eastAsia="Arial" w:hAnsi="Arial" w:cs="Arial"/>
          <w:i/>
          <w:iCs/>
          <w:kern w:val="0"/>
          <w:lang w:val="es-ES"/>
          <w14:ligatures w14:val="none"/>
        </w:rPr>
      </w:pPr>
    </w:p>
    <w:p w14:paraId="1FC92843" w14:textId="315F537B" w:rsidR="00BE4D15" w:rsidRDefault="00BE4D15" w:rsidP="00BE4D15">
      <w:pPr>
        <w:widowControl w:val="0"/>
        <w:autoSpaceDE w:val="0"/>
        <w:autoSpaceDN w:val="0"/>
        <w:spacing w:before="184" w:after="0" w:line="240" w:lineRule="auto"/>
        <w:ind w:left="1416"/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</w:pP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*Cuando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no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sea</w:t>
      </w:r>
      <w:r w:rsidRPr="00BE4D15">
        <w:rPr>
          <w:rFonts w:ascii="Arial" w:eastAsia="Arial" w:hAnsi="Arial" w:cs="Arial"/>
          <w:i/>
          <w:iCs/>
          <w:spacing w:val="-7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posible</w:t>
      </w:r>
      <w:r w:rsidRPr="00BE4D15">
        <w:rPr>
          <w:rFonts w:ascii="Arial" w:eastAsia="Arial" w:hAnsi="Arial" w:cs="Arial"/>
          <w:i/>
          <w:iCs/>
          <w:spacing w:val="-6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determinar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la</w:t>
      </w:r>
      <w:r w:rsidRPr="00BE4D15">
        <w:rPr>
          <w:rFonts w:ascii="Arial" w:eastAsia="Arial" w:hAnsi="Arial" w:cs="Arial"/>
          <w:i/>
          <w:iCs/>
          <w:spacing w:val="-4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cuantía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de</w:t>
      </w:r>
      <w:r w:rsidRPr="00BE4D15">
        <w:rPr>
          <w:rFonts w:ascii="Arial" w:eastAsia="Arial" w:hAnsi="Arial" w:cs="Arial"/>
          <w:i/>
          <w:iCs/>
          <w:spacing w:val="-7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las pretensiones,</w:t>
      </w:r>
      <w:r w:rsidRPr="00BE4D15">
        <w:rPr>
          <w:rFonts w:ascii="Arial" w:eastAsia="Arial" w:hAnsi="Arial" w:cs="Arial"/>
          <w:i/>
          <w:iCs/>
          <w:spacing w:val="-1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los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Árbitros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tendrán</w:t>
      </w:r>
      <w:r w:rsidRPr="00BE4D15">
        <w:rPr>
          <w:rFonts w:ascii="Arial" w:eastAsia="Arial" w:hAnsi="Arial" w:cs="Arial"/>
          <w:i/>
          <w:iCs/>
          <w:spacing w:val="-4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como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suma</w:t>
      </w:r>
      <w:r w:rsidRPr="00BE4D15">
        <w:rPr>
          <w:rFonts w:ascii="Arial" w:eastAsia="Arial" w:hAnsi="Arial" w:cs="Arial"/>
          <w:i/>
          <w:iCs/>
          <w:spacing w:val="-4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límite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para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fijar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los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kern w:val="0"/>
          <w:lang w:val="es-ES"/>
          <w14:ligatures w14:val="none"/>
        </w:rPr>
        <w:t>honorarios</w:t>
      </w:r>
      <w:r w:rsidRPr="00BE4D15">
        <w:rPr>
          <w:rFonts w:ascii="Arial" w:eastAsia="Arial" w:hAnsi="Arial" w:cs="Arial"/>
          <w:i/>
          <w:iCs/>
          <w:spacing w:val="-3"/>
          <w:kern w:val="0"/>
          <w:lang w:val="es-ES"/>
          <w14:ligatures w14:val="none"/>
        </w:rPr>
        <w:t xml:space="preserve"> </w:t>
      </w:r>
      <w:r w:rsidRP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>de</w:t>
      </w:r>
    </w:p>
    <w:p w14:paraId="02549A95" w14:textId="7FB37042" w:rsidR="0010057B" w:rsidRDefault="00416A42" w:rsidP="00BE4D15">
      <w:pPr>
        <w:widowControl w:val="0"/>
        <w:autoSpaceDE w:val="0"/>
        <w:autoSpaceDN w:val="0"/>
        <w:spacing w:before="184" w:after="0" w:line="240" w:lineRule="auto"/>
        <w:ind w:left="1416"/>
      </w:pPr>
      <w:r>
        <w:rPr>
          <w:rFonts w:ascii="Arial" w:eastAsia="Arial" w:hAnsi="Arial" w:cs="Arial"/>
          <w:i/>
          <w:iCs/>
          <w:noProof/>
          <w:spacing w:val="-5"/>
          <w:kern w:val="0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E683B2" wp14:editId="7A3401A9">
                <wp:simplePos x="0" y="0"/>
                <wp:positionH relativeFrom="column">
                  <wp:posOffset>45402</wp:posOffset>
                </wp:positionH>
                <wp:positionV relativeFrom="paragraph">
                  <wp:posOffset>156210</wp:posOffset>
                </wp:positionV>
                <wp:extent cx="9991725" cy="3086100"/>
                <wp:effectExtent l="0" t="0" r="0" b="0"/>
                <wp:wrapNone/>
                <wp:docPr id="149805708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308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3AEE9" w14:textId="77777777" w:rsidR="00BE4D15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i/>
                              </w:rPr>
                            </w:pPr>
                          </w:p>
                          <w:p w14:paraId="549CC09B" w14:textId="77777777" w:rsidR="00BE4D15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i/>
                              </w:rPr>
                            </w:pPr>
                          </w:p>
                          <w:p w14:paraId="57B94D67" w14:textId="4B09DE2A" w:rsidR="00BE4D15" w:rsidRPr="00E430CD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Las tarifas podrán ser canceladas a través de los siguientes medios:</w:t>
                            </w:r>
                          </w:p>
                          <w:p w14:paraId="7ADB415B" w14:textId="77777777" w:rsidR="00BE4D15" w:rsidRPr="00E430CD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de ahorros de Bancolombia No. 07682496911.</w:t>
                            </w:r>
                          </w:p>
                          <w:p w14:paraId="48673133" w14:textId="77777777" w:rsidR="00BE4D15" w:rsidRPr="00E430CD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corriente de Davivienda No. 076000857235.</w:t>
                            </w:r>
                          </w:p>
                          <w:p w14:paraId="15111433" w14:textId="77777777" w:rsidR="00BE4D15" w:rsidRDefault="00BE4D15" w:rsidP="00BE4D15">
                            <w:pPr>
                              <w:spacing w:after="0"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Ventanillas de pago ubicadas en cualquiera de nuestras sedes, en los horarios de atención al público de lunes a viernes de 7:00 a.m. - 11:30 a.m. y de 2:00 p.m. 5:30 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683B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.55pt;margin-top:12.3pt;width:786.75pt;height:24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" filled="f" stroked="f">
                <v:textbox inset="0,0,0,0">
                  <w:txbxContent>
                    <w:p w14:paraId="2273AEE9" w14:textId="77777777" w:rsidR="00BE4D15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i/>
                        </w:rPr>
                      </w:pPr>
                    </w:p>
                    <w:p w14:paraId="549CC09B" w14:textId="77777777" w:rsidR="00BE4D15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i/>
                        </w:rPr>
                      </w:pPr>
                    </w:p>
                    <w:p w14:paraId="57B94D67" w14:textId="4B09DE2A" w:rsidR="00BE4D15" w:rsidRPr="00E430CD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Las tarifas podrán ser canceladas a través de los siguientes medios:</w:t>
                      </w:r>
                    </w:p>
                    <w:p w14:paraId="7ADB415B" w14:textId="77777777" w:rsidR="00BE4D15" w:rsidRPr="00E430CD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de ahorros de Bancolombia No. 07682496911.</w:t>
                      </w:r>
                    </w:p>
                    <w:p w14:paraId="48673133" w14:textId="77777777" w:rsidR="00BE4D15" w:rsidRPr="00E430CD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corriente de Davivienda No. 076000857235.</w:t>
                      </w:r>
                    </w:p>
                    <w:p w14:paraId="15111433" w14:textId="77777777" w:rsidR="00BE4D15" w:rsidRDefault="00BE4D15" w:rsidP="00BE4D15">
                      <w:pPr>
                        <w:spacing w:after="0"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Ventanillas de pago ubicadas en cualquiera de nuestras sedes, en los horarios de atención al público de lunes a viernes de 7:00 a.m. - 11:30 a.m. y de 2:00 p.m. 5:30 p.m.</w:t>
                      </w:r>
                    </w:p>
                  </w:txbxContent>
                </v:textbox>
              </v:shape>
            </w:pict>
          </mc:Fallback>
        </mc:AlternateContent>
      </w:r>
      <w:r w:rsid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 xml:space="preserve">cada uno, la cuantía </w:t>
      </w:r>
      <w:r w:rsidR="00AD1567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>de 5 smlmv</w:t>
      </w:r>
      <w:r w:rsidR="00BE4D15">
        <w:rPr>
          <w:rFonts w:ascii="Arial" w:eastAsia="Arial" w:hAnsi="Arial" w:cs="Arial"/>
          <w:i/>
          <w:iCs/>
          <w:spacing w:val="-5"/>
          <w:kern w:val="0"/>
          <w:lang w:val="es-ES"/>
          <w14:ligatures w14:val="none"/>
        </w:rPr>
        <w:t>.</w:t>
      </w:r>
    </w:p>
    <w:sectPr w:rsidR="0010057B" w:rsidSect="00BE4D15">
      <w:pgSz w:w="15840" w:h="12240" w:orient="landscape"/>
      <w:pgMar w:top="4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15"/>
    <w:rsid w:val="0010057B"/>
    <w:rsid w:val="001267D3"/>
    <w:rsid w:val="00416A42"/>
    <w:rsid w:val="005053A5"/>
    <w:rsid w:val="007335EA"/>
    <w:rsid w:val="00752ACD"/>
    <w:rsid w:val="008C754B"/>
    <w:rsid w:val="00AD1567"/>
    <w:rsid w:val="00BE4D15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CC71"/>
  <w15:chartTrackingRefBased/>
  <w15:docId w15:val="{FFA434E4-089D-461E-B092-81081CE9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4D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4D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4D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4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4D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4D1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4D1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4D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4D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4D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4D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4D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4D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4D1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D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D1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4D15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E4D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67D3"/>
    <w:pPr>
      <w:widowControl w:val="0"/>
      <w:autoSpaceDE w:val="0"/>
      <w:autoSpaceDN w:val="0"/>
      <w:spacing w:before="108" w:after="0" w:line="240" w:lineRule="auto"/>
      <w:ind w:left="20"/>
      <w:jc w:val="center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Stefanía Tovar Medina</dc:creator>
  <cp:keywords/>
  <dc:description/>
  <cp:lastModifiedBy>Ariana Stefanía Tovar Medina</cp:lastModifiedBy>
  <cp:revision>4</cp:revision>
  <dcterms:created xsi:type="dcterms:W3CDTF">2025-01-16T13:14:00Z</dcterms:created>
  <dcterms:modified xsi:type="dcterms:W3CDTF">2025-01-21T19:30:00Z</dcterms:modified>
</cp:coreProperties>
</file>