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1FBD" w14:textId="7F84C243" w:rsidR="001D16AC" w:rsidRDefault="00000000">
      <w:pPr>
        <w:tabs>
          <w:tab w:val="left" w:pos="12861"/>
        </w:tabs>
        <w:ind w:left="512"/>
        <w:rPr>
          <w:rFonts w:ascii="Times New Roman"/>
          <w:position w:val="12"/>
          <w:sz w:val="20"/>
        </w:rPr>
      </w:pPr>
      <w:r>
        <w:rPr>
          <w:rFonts w:ascii="Times New Roman"/>
          <w:sz w:val="20"/>
        </w:rPr>
        <w:tab/>
      </w:r>
    </w:p>
    <w:p w14:paraId="3CC36DA4" w14:textId="77777777" w:rsidR="00FC7A37" w:rsidRDefault="00FC7A37">
      <w:pPr>
        <w:pStyle w:val="Ttulo"/>
        <w:rPr>
          <w:spacing w:val="-4"/>
        </w:rPr>
      </w:pPr>
    </w:p>
    <w:p w14:paraId="576DD5CA" w14:textId="77777777" w:rsidR="00FC7A37" w:rsidRDefault="00FC7A37">
      <w:pPr>
        <w:pStyle w:val="Ttulo"/>
        <w:rPr>
          <w:spacing w:val="-4"/>
        </w:rPr>
      </w:pPr>
    </w:p>
    <w:p w14:paraId="09356118" w14:textId="77777777" w:rsidR="00FC7A37" w:rsidRDefault="00FC7A37">
      <w:pPr>
        <w:pStyle w:val="Ttulo"/>
        <w:rPr>
          <w:spacing w:val="-4"/>
        </w:rPr>
      </w:pPr>
    </w:p>
    <w:p w14:paraId="078C7F76" w14:textId="48A9977C" w:rsidR="001D16AC" w:rsidRDefault="00000000">
      <w:pPr>
        <w:pStyle w:val="Ttulo"/>
        <w:rPr>
          <w:spacing w:val="-4"/>
        </w:rPr>
      </w:pPr>
      <w:r>
        <w:rPr>
          <w:spacing w:val="-4"/>
        </w:rPr>
        <w:t>TARIFAS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ARBITRAJE</w:t>
      </w:r>
      <w:r w:rsidR="002A1962">
        <w:rPr>
          <w:spacing w:val="-4"/>
        </w:rPr>
        <w:t xml:space="preserve"> </w:t>
      </w:r>
    </w:p>
    <w:p w14:paraId="1A4335A8" w14:textId="77777777" w:rsidR="00185395" w:rsidRDefault="00185395">
      <w:pPr>
        <w:pStyle w:val="Ttulo"/>
        <w:rPr>
          <w:spacing w:val="-4"/>
        </w:rPr>
      </w:pPr>
    </w:p>
    <w:tbl>
      <w:tblPr>
        <w:tblStyle w:val="TableNormal"/>
        <w:tblW w:w="12614" w:type="dxa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827"/>
        <w:gridCol w:w="2552"/>
        <w:gridCol w:w="2835"/>
      </w:tblGrid>
      <w:tr w:rsidR="00892E23" w14:paraId="53441349" w14:textId="23275C11" w:rsidTr="00185395">
        <w:trPr>
          <w:trHeight w:val="598"/>
        </w:trPr>
        <w:tc>
          <w:tcPr>
            <w:tcW w:w="3400" w:type="dxa"/>
            <w:shd w:val="clear" w:color="auto" w:fill="D8D8D8"/>
            <w:vAlign w:val="center"/>
          </w:tcPr>
          <w:p w14:paraId="30E94882" w14:textId="7A5B8CA3" w:rsidR="00892E23" w:rsidRDefault="00892E23" w:rsidP="00185395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GASTOS INICIALES</w:t>
            </w:r>
          </w:p>
        </w:tc>
        <w:tc>
          <w:tcPr>
            <w:tcW w:w="3827" w:type="dxa"/>
            <w:shd w:val="clear" w:color="auto" w:fill="D8D8D8"/>
            <w:vAlign w:val="center"/>
          </w:tcPr>
          <w:p w14:paraId="17EF52B1" w14:textId="303E3AAF" w:rsidR="00892E23" w:rsidRDefault="00892E23" w:rsidP="00185395">
            <w:pPr>
              <w:pStyle w:val="TableParagraph"/>
              <w:spacing w:before="0"/>
              <w:ind w:left="18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803B04C" w14:textId="24762681" w:rsidR="00892E23" w:rsidRDefault="00892E23" w:rsidP="00185395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IVA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08F2F53" w14:textId="68288FC9" w:rsidR="00892E23" w:rsidRDefault="00892E23" w:rsidP="00185395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</w:tr>
      <w:tr w:rsidR="00892E23" w14:paraId="54688E9C" w14:textId="10174338" w:rsidTr="00892E23">
        <w:trPr>
          <w:trHeight w:val="434"/>
        </w:trPr>
        <w:tc>
          <w:tcPr>
            <w:tcW w:w="3400" w:type="dxa"/>
            <w:vAlign w:val="center"/>
          </w:tcPr>
          <w:p w14:paraId="75A4CBB1" w14:textId="4059ED56" w:rsidR="00892E23" w:rsidRDefault="00892E23" w:rsidP="00892E23">
            <w:pPr>
              <w:pStyle w:val="TableParagraph"/>
              <w:ind w:right="4"/>
            </w:pPr>
            <w:r w:rsidRPr="00892E23">
              <w:t>Mínima y menor (</w:t>
            </w:r>
            <w:proofErr w:type="gramStart"/>
            <w:r w:rsidRPr="00892E23">
              <w:t>150  SMLMV</w:t>
            </w:r>
            <w:proofErr w:type="gramEnd"/>
            <w:r w:rsidRPr="00892E23">
              <w:t>)</w:t>
            </w:r>
          </w:p>
        </w:tc>
        <w:tc>
          <w:tcPr>
            <w:tcW w:w="3827" w:type="dxa"/>
            <w:vAlign w:val="center"/>
          </w:tcPr>
          <w:p w14:paraId="4E274AAC" w14:textId="677DCF4C" w:rsidR="00892E23" w:rsidRPr="00892E23" w:rsidRDefault="00892E23" w:rsidP="00892E23">
            <w:pPr>
              <w:pStyle w:val="TableParagraph"/>
              <w:rPr>
                <w:rFonts w:ascii="Arial"/>
                <w:bCs/>
              </w:rPr>
            </w:pPr>
            <w:r w:rsidRPr="00892E23">
              <w:rPr>
                <w:rFonts w:ascii="Arial"/>
                <w:bCs/>
              </w:rPr>
              <w:t>$1.245.971</w:t>
            </w:r>
          </w:p>
        </w:tc>
        <w:tc>
          <w:tcPr>
            <w:tcW w:w="2552" w:type="dxa"/>
            <w:vAlign w:val="center"/>
          </w:tcPr>
          <w:p w14:paraId="677A7A6F" w14:textId="0A27B55F" w:rsidR="00892E23" w:rsidRPr="00892E23" w:rsidRDefault="00892E23" w:rsidP="00892E23">
            <w:pPr>
              <w:pStyle w:val="TableParagraph"/>
              <w:ind w:left="0"/>
              <w:rPr>
                <w:rFonts w:ascii="Arial"/>
                <w:bCs/>
              </w:rPr>
            </w:pPr>
            <w:r w:rsidRPr="00892E23">
              <w:rPr>
                <w:rFonts w:ascii="Arial"/>
                <w:bCs/>
              </w:rPr>
              <w:t>$236.734</w:t>
            </w:r>
          </w:p>
        </w:tc>
        <w:tc>
          <w:tcPr>
            <w:tcW w:w="2835" w:type="dxa"/>
            <w:vAlign w:val="center"/>
          </w:tcPr>
          <w:p w14:paraId="60B7D76A" w14:textId="71E3AC3A" w:rsidR="00892E23" w:rsidRDefault="00892E23" w:rsidP="00892E23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$1.482.705</w:t>
            </w:r>
          </w:p>
        </w:tc>
      </w:tr>
      <w:tr w:rsidR="00892E23" w14:paraId="0D55007A" w14:textId="07CFF300" w:rsidTr="00892E23">
        <w:trPr>
          <w:trHeight w:val="435"/>
        </w:trPr>
        <w:tc>
          <w:tcPr>
            <w:tcW w:w="3400" w:type="dxa"/>
            <w:shd w:val="clear" w:color="auto" w:fill="D8D8D8"/>
            <w:vAlign w:val="center"/>
          </w:tcPr>
          <w:p w14:paraId="4A33E69D" w14:textId="5393C7C3" w:rsidR="00892E23" w:rsidRDefault="00892E23" w:rsidP="00892E23">
            <w:pPr>
              <w:pStyle w:val="TableParagraph"/>
              <w:ind w:right="1"/>
            </w:pPr>
            <w:r w:rsidRPr="00892E23">
              <w:t>Mayor cuantía (+150 SMLMV) o indeterminada</w:t>
            </w:r>
          </w:p>
        </w:tc>
        <w:tc>
          <w:tcPr>
            <w:tcW w:w="3827" w:type="dxa"/>
            <w:shd w:val="clear" w:color="auto" w:fill="D8D8D8"/>
            <w:vAlign w:val="center"/>
          </w:tcPr>
          <w:p w14:paraId="4422FD1C" w14:textId="2F804B27" w:rsidR="00892E23" w:rsidRPr="00892E23" w:rsidRDefault="00892E23" w:rsidP="00892E23">
            <w:pPr>
              <w:pStyle w:val="TableParagraph"/>
              <w:ind w:left="18"/>
              <w:rPr>
                <w:rFonts w:ascii="Arial" w:hAnsi="Arial"/>
                <w:bCs/>
              </w:rPr>
            </w:pPr>
            <w:r w:rsidRPr="00892E23">
              <w:rPr>
                <w:rFonts w:ascii="Arial" w:hAnsi="Arial"/>
                <w:bCs/>
              </w:rPr>
              <w:t>$2.492.440</w:t>
            </w:r>
          </w:p>
        </w:tc>
        <w:tc>
          <w:tcPr>
            <w:tcW w:w="2552" w:type="dxa"/>
            <w:shd w:val="clear" w:color="auto" w:fill="D8D8D8"/>
            <w:vAlign w:val="center"/>
          </w:tcPr>
          <w:p w14:paraId="4FA9F348" w14:textId="711275EE" w:rsidR="00892E23" w:rsidRPr="00892E23" w:rsidRDefault="00892E23" w:rsidP="00892E23">
            <w:pPr>
              <w:pStyle w:val="TableParagraph"/>
              <w:ind w:left="18"/>
              <w:rPr>
                <w:rFonts w:ascii="Arial" w:hAnsi="Arial"/>
                <w:bCs/>
              </w:rPr>
            </w:pPr>
            <w:r w:rsidRPr="00892E23">
              <w:rPr>
                <w:rFonts w:ascii="Arial" w:hAnsi="Arial"/>
                <w:bCs/>
              </w:rPr>
              <w:t>$</w:t>
            </w:r>
            <w:r>
              <w:rPr>
                <w:rFonts w:ascii="Arial" w:hAnsi="Arial"/>
                <w:bCs/>
              </w:rPr>
              <w:t>473.564</w:t>
            </w:r>
          </w:p>
        </w:tc>
        <w:tc>
          <w:tcPr>
            <w:tcW w:w="2835" w:type="dxa"/>
            <w:shd w:val="clear" w:color="auto" w:fill="D8D8D8"/>
            <w:vAlign w:val="center"/>
          </w:tcPr>
          <w:p w14:paraId="45E6F868" w14:textId="30D30C08" w:rsidR="00892E23" w:rsidRDefault="00892E23" w:rsidP="00892E23">
            <w:pPr>
              <w:pStyle w:val="TableParagraph"/>
              <w:ind w:left="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$2.966.004</w:t>
            </w:r>
          </w:p>
        </w:tc>
      </w:tr>
    </w:tbl>
    <w:p w14:paraId="340297A0" w14:textId="77777777" w:rsidR="001D16AC" w:rsidRDefault="001D16AC">
      <w:pPr>
        <w:pStyle w:val="Textoindependiente"/>
        <w:spacing w:before="2"/>
        <w:rPr>
          <w:b/>
          <w:i w:val="0"/>
          <w:sz w:val="16"/>
        </w:rPr>
      </w:pPr>
    </w:p>
    <w:p w14:paraId="7662C128" w14:textId="77777777" w:rsidR="00185395" w:rsidRDefault="00185395">
      <w:pPr>
        <w:pStyle w:val="Textoindependiente"/>
        <w:spacing w:before="2"/>
        <w:rPr>
          <w:b/>
          <w:i w:val="0"/>
          <w:sz w:val="16"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6043"/>
      </w:tblGrid>
      <w:tr w:rsidR="001D16AC" w14:paraId="58E5CCB8" w14:textId="77777777">
        <w:trPr>
          <w:trHeight w:val="1165"/>
        </w:trPr>
        <w:tc>
          <w:tcPr>
            <w:tcW w:w="6516" w:type="dxa"/>
            <w:shd w:val="clear" w:color="auto" w:fill="D8D8D8"/>
          </w:tcPr>
          <w:p w14:paraId="627FB315" w14:textId="77777777" w:rsidR="001D16AC" w:rsidRDefault="001D16AC">
            <w:pPr>
              <w:pStyle w:val="TableParagraph"/>
              <w:spacing w:before="202"/>
              <w:ind w:left="0"/>
              <w:jc w:val="left"/>
              <w:rPr>
                <w:rFonts w:ascii="Arial"/>
                <w:b/>
              </w:rPr>
            </w:pPr>
          </w:p>
          <w:p w14:paraId="5806244A" w14:textId="77777777" w:rsidR="001D16AC" w:rsidRDefault="00000000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CUANTÍA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PROCESO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(UVT)</w:t>
            </w:r>
          </w:p>
        </w:tc>
        <w:tc>
          <w:tcPr>
            <w:tcW w:w="6043" w:type="dxa"/>
            <w:shd w:val="clear" w:color="auto" w:fill="D8D8D8"/>
          </w:tcPr>
          <w:p w14:paraId="7EAB07CA" w14:textId="77777777" w:rsidR="001D16AC" w:rsidRDefault="001D16AC">
            <w:pPr>
              <w:pStyle w:val="TableParagraph"/>
              <w:spacing w:before="202"/>
              <w:ind w:left="0"/>
              <w:jc w:val="left"/>
              <w:rPr>
                <w:rFonts w:ascii="Arial"/>
                <w:b/>
              </w:rPr>
            </w:pPr>
          </w:p>
          <w:p w14:paraId="0256D995" w14:textId="77777777" w:rsidR="001D16AC" w:rsidRDefault="00000000">
            <w:pPr>
              <w:pStyle w:val="TableParagraph"/>
              <w:spacing w:before="1"/>
              <w:ind w:left="18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HONORARIOS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MÁXIMOS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ÁRBITRO</w:t>
            </w:r>
          </w:p>
        </w:tc>
      </w:tr>
      <w:tr w:rsidR="001D16AC" w14:paraId="0704AFF2" w14:textId="77777777">
        <w:trPr>
          <w:trHeight w:val="469"/>
        </w:trPr>
        <w:tc>
          <w:tcPr>
            <w:tcW w:w="6516" w:type="dxa"/>
          </w:tcPr>
          <w:p w14:paraId="02EB9367" w14:textId="77777777" w:rsidR="001D16AC" w:rsidRDefault="00000000">
            <w:pPr>
              <w:pStyle w:val="TableParagraph"/>
              <w:ind w:right="4"/>
            </w:pPr>
            <w:r>
              <w:t>Menos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250.23</w:t>
            </w:r>
          </w:p>
        </w:tc>
        <w:tc>
          <w:tcPr>
            <w:tcW w:w="6043" w:type="dxa"/>
          </w:tcPr>
          <w:p w14:paraId="228297C2" w14:textId="77777777" w:rsidR="001D16AC" w:rsidRDefault="00000000">
            <w:pPr>
              <w:pStyle w:val="TableParagraph"/>
              <w:ind w:left="25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8.34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UVT</w:t>
            </w:r>
          </w:p>
        </w:tc>
      </w:tr>
      <w:tr w:rsidR="001D16AC" w14:paraId="022EA55B" w14:textId="77777777">
        <w:trPr>
          <w:trHeight w:val="470"/>
        </w:trPr>
        <w:tc>
          <w:tcPr>
            <w:tcW w:w="6516" w:type="dxa"/>
            <w:shd w:val="clear" w:color="auto" w:fill="D8D8D8"/>
          </w:tcPr>
          <w:p w14:paraId="59DE7F73" w14:textId="77777777" w:rsidR="001D16AC" w:rsidRDefault="00000000">
            <w:pPr>
              <w:pStyle w:val="TableParagraph"/>
              <w:ind w:right="1"/>
            </w:pPr>
            <w:r>
              <w:t>Entre</w:t>
            </w:r>
            <w:r>
              <w:rPr>
                <w:spacing w:val="-2"/>
              </w:rPr>
              <w:t xml:space="preserve"> </w:t>
            </w:r>
            <w:r>
              <w:t>250.23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igual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4404.00</w:t>
            </w:r>
          </w:p>
        </w:tc>
        <w:tc>
          <w:tcPr>
            <w:tcW w:w="6043" w:type="dxa"/>
            <w:shd w:val="clear" w:color="auto" w:fill="D8D8D8"/>
          </w:tcPr>
          <w:p w14:paraId="47CC42E2" w14:textId="77777777" w:rsidR="001D16AC" w:rsidRDefault="00000000">
            <w:pPr>
              <w:pStyle w:val="TableParagraph"/>
              <w:ind w:left="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3,25%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Cuantía</w:t>
            </w:r>
          </w:p>
        </w:tc>
      </w:tr>
      <w:tr w:rsidR="001D16AC" w14:paraId="27A9723F" w14:textId="77777777">
        <w:trPr>
          <w:trHeight w:val="470"/>
        </w:trPr>
        <w:tc>
          <w:tcPr>
            <w:tcW w:w="6516" w:type="dxa"/>
          </w:tcPr>
          <w:p w14:paraId="528A51F3" w14:textId="77777777" w:rsidR="001D16AC" w:rsidRDefault="00000000">
            <w:pPr>
              <w:pStyle w:val="TableParagraph"/>
              <w:ind w:right="2"/>
            </w:pP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4404.00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igual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13237.03</w:t>
            </w:r>
          </w:p>
        </w:tc>
        <w:tc>
          <w:tcPr>
            <w:tcW w:w="6043" w:type="dxa"/>
          </w:tcPr>
          <w:p w14:paraId="1F76B278" w14:textId="77777777" w:rsidR="001D16AC" w:rsidRDefault="00000000">
            <w:pPr>
              <w:pStyle w:val="TableParagraph"/>
              <w:ind w:left="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2,25%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Cuantía</w:t>
            </w:r>
          </w:p>
        </w:tc>
      </w:tr>
      <w:tr w:rsidR="001D16AC" w14:paraId="00114D16" w14:textId="77777777">
        <w:trPr>
          <w:trHeight w:val="470"/>
        </w:trPr>
        <w:tc>
          <w:tcPr>
            <w:tcW w:w="6516" w:type="dxa"/>
            <w:shd w:val="clear" w:color="auto" w:fill="D8D8D8"/>
          </w:tcPr>
          <w:p w14:paraId="2A90ADC2" w14:textId="77777777" w:rsidR="001D16AC" w:rsidRDefault="00000000">
            <w:pPr>
              <w:pStyle w:val="TableParagraph"/>
              <w:ind w:right="3"/>
            </w:pP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13237.03 e</w:t>
            </w:r>
            <w:r>
              <w:rPr>
                <w:spacing w:val="-6"/>
              </w:rPr>
              <w:t xml:space="preserve"> </w:t>
            </w:r>
            <w:r>
              <w:t>igual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22070.07</w:t>
            </w:r>
          </w:p>
        </w:tc>
        <w:tc>
          <w:tcPr>
            <w:tcW w:w="6043" w:type="dxa"/>
            <w:shd w:val="clear" w:color="auto" w:fill="D8D8D8"/>
          </w:tcPr>
          <w:p w14:paraId="0B66C146" w14:textId="77777777" w:rsidR="001D16AC" w:rsidRDefault="00000000">
            <w:pPr>
              <w:pStyle w:val="TableParagraph"/>
              <w:ind w:left="18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2%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Cuantía</w:t>
            </w:r>
          </w:p>
        </w:tc>
      </w:tr>
      <w:tr w:rsidR="001D16AC" w14:paraId="4D519C8A" w14:textId="77777777">
        <w:trPr>
          <w:trHeight w:val="470"/>
        </w:trPr>
        <w:tc>
          <w:tcPr>
            <w:tcW w:w="6516" w:type="dxa"/>
          </w:tcPr>
          <w:p w14:paraId="32C6F060" w14:textId="77777777" w:rsidR="001D16AC" w:rsidRDefault="00000000">
            <w:pPr>
              <w:pStyle w:val="TableParagraph"/>
              <w:ind w:right="3"/>
            </w:pP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22070.07 e</w:t>
            </w:r>
            <w:r>
              <w:rPr>
                <w:spacing w:val="-6"/>
              </w:rPr>
              <w:t xml:space="preserve"> </w:t>
            </w:r>
            <w:r>
              <w:t>igual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44140.13</w:t>
            </w:r>
          </w:p>
        </w:tc>
        <w:tc>
          <w:tcPr>
            <w:tcW w:w="6043" w:type="dxa"/>
          </w:tcPr>
          <w:p w14:paraId="1500733D" w14:textId="77777777" w:rsidR="001D16AC" w:rsidRDefault="00000000">
            <w:pPr>
              <w:pStyle w:val="TableParagraph"/>
              <w:ind w:left="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1,75%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Cuantía</w:t>
            </w:r>
          </w:p>
        </w:tc>
      </w:tr>
      <w:tr w:rsidR="001D16AC" w14:paraId="24B4E71C" w14:textId="77777777">
        <w:trPr>
          <w:trHeight w:val="470"/>
        </w:trPr>
        <w:tc>
          <w:tcPr>
            <w:tcW w:w="6516" w:type="dxa"/>
            <w:shd w:val="clear" w:color="auto" w:fill="D8D8D8"/>
          </w:tcPr>
          <w:p w14:paraId="4EEF2882" w14:textId="77777777" w:rsidR="001D16AC" w:rsidRDefault="00000000">
            <w:pPr>
              <w:pStyle w:val="TableParagraph"/>
              <w:ind w:right="3"/>
            </w:pPr>
            <w:r>
              <w:t>Mayor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44140.13</w:t>
            </w:r>
          </w:p>
        </w:tc>
        <w:tc>
          <w:tcPr>
            <w:tcW w:w="6043" w:type="dxa"/>
            <w:shd w:val="clear" w:color="auto" w:fill="D8D8D8"/>
          </w:tcPr>
          <w:p w14:paraId="47F1DCEA" w14:textId="20CFE250" w:rsidR="001D16AC" w:rsidRDefault="00000000">
            <w:pPr>
              <w:pStyle w:val="TableParagraph"/>
              <w:ind w:left="18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1,5%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Cuantía</w:t>
            </w:r>
          </w:p>
        </w:tc>
      </w:tr>
    </w:tbl>
    <w:p w14:paraId="4A9034D4" w14:textId="77777777" w:rsidR="00185395" w:rsidRDefault="00185395">
      <w:pPr>
        <w:pStyle w:val="Textoindependiente"/>
        <w:ind w:left="1416"/>
      </w:pPr>
    </w:p>
    <w:p w14:paraId="2D063487" w14:textId="306C6CA1" w:rsidR="001D16AC" w:rsidRDefault="00000000">
      <w:pPr>
        <w:pStyle w:val="Textoindependiente"/>
        <w:ind w:left="1416"/>
      </w:pPr>
      <w:r>
        <w:t>*Los</w:t>
      </w:r>
      <w:r>
        <w:rPr>
          <w:spacing w:val="-5"/>
        </w:rPr>
        <w:t xml:space="preserve"> </w:t>
      </w:r>
      <w:r>
        <w:t>honorarios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Árbitro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superar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cantidad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25.022,75</w:t>
      </w:r>
      <w:r>
        <w:rPr>
          <w:spacing w:val="-5"/>
        </w:rPr>
        <w:t xml:space="preserve"> </w:t>
      </w:r>
      <w:r>
        <w:t>UVT,</w:t>
      </w:r>
      <w:r>
        <w:rPr>
          <w:spacing w:val="-5"/>
        </w:rPr>
        <w:t xml:space="preserve"> </w:t>
      </w:r>
      <w:r>
        <w:t>independientemente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cuantía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proceso.</w:t>
      </w:r>
    </w:p>
    <w:p w14:paraId="6219F1D6" w14:textId="152CD2B4" w:rsidR="001D16AC" w:rsidRDefault="00FC7A37">
      <w:pPr>
        <w:pStyle w:val="Textoindependiente"/>
        <w:spacing w:before="184"/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739BF55D" wp14:editId="479B2F93">
                <wp:simplePos x="0" y="0"/>
                <wp:positionH relativeFrom="column">
                  <wp:posOffset>85729</wp:posOffset>
                </wp:positionH>
                <wp:positionV relativeFrom="paragraph">
                  <wp:posOffset>233680</wp:posOffset>
                </wp:positionV>
                <wp:extent cx="9991725" cy="3086100"/>
                <wp:effectExtent l="0" t="0" r="0" b="0"/>
                <wp:wrapNone/>
                <wp:docPr id="12860994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308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4998F" w14:textId="77777777" w:rsidR="001D16AC" w:rsidRDefault="00000000">
                            <w:pPr>
                              <w:spacing w:before="69"/>
                              <w:ind w:left="1370"/>
                              <w:rPr>
                                <w:i/>
                                <w:spacing w:val="-4"/>
                              </w:rPr>
                            </w:pPr>
                            <w:r>
                              <w:rPr>
                                <w:i/>
                              </w:rPr>
                              <w:t>cada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uno,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cuantía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12.511,37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UVT.</w:t>
                            </w:r>
                          </w:p>
                          <w:p w14:paraId="7AC2D045" w14:textId="77777777" w:rsidR="00E430CD" w:rsidRDefault="00E430CD">
                            <w:pPr>
                              <w:spacing w:before="69"/>
                              <w:ind w:left="1370"/>
                              <w:rPr>
                                <w:i/>
                              </w:rPr>
                            </w:pPr>
                          </w:p>
                          <w:p w14:paraId="0F34B6E5" w14:textId="77777777" w:rsidR="00E430CD" w:rsidRPr="00E430CD" w:rsidRDefault="00E430CD" w:rsidP="00E430CD">
                            <w:pPr>
                              <w:spacing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Las tarifas podrán ser canceladas a través de los siguientes medios:</w:t>
                            </w:r>
                          </w:p>
                          <w:p w14:paraId="74591CF8" w14:textId="51CCFF1F" w:rsidR="00E430CD" w:rsidRPr="00E430CD" w:rsidRDefault="00E430CD" w:rsidP="00E430CD">
                            <w:pPr>
                              <w:spacing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•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 w:rsidRPr="00E430CD">
                              <w:rPr>
                                <w:rFonts w:ascii="Arial MT" w:hAnsi="Arial MT"/>
                              </w:rPr>
                              <w:t>Transferencia o consignación a la cuenta de ahorros de Bancolombia No. 07682496911.</w:t>
                            </w:r>
                          </w:p>
                          <w:p w14:paraId="19B955A0" w14:textId="5C633248" w:rsidR="00E430CD" w:rsidRPr="00E430CD" w:rsidRDefault="00E430CD" w:rsidP="00E430CD">
                            <w:pPr>
                              <w:spacing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•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 w:rsidRPr="00E430CD">
                              <w:rPr>
                                <w:rFonts w:ascii="Arial MT" w:hAnsi="Arial MT"/>
                              </w:rPr>
                              <w:t>Transferencia o consignación a la cuenta corriente de Davivienda No. 076000857235.</w:t>
                            </w:r>
                          </w:p>
                          <w:p w14:paraId="0313F66B" w14:textId="3F2E44EB" w:rsidR="001D16AC" w:rsidRDefault="00E430CD" w:rsidP="00E430CD">
                            <w:pPr>
                              <w:spacing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•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 w:rsidRPr="00E430CD">
                              <w:rPr>
                                <w:rFonts w:ascii="Arial MT" w:hAnsi="Arial MT"/>
                              </w:rPr>
                              <w:t>Ventanillas de pago ubicadas en cualquiera de nuestras sedes, en los horarios de atención al público de lunes a viernes de 7:00 a.m. - 11:30 a.m. y de 2:00 p.m. 5:30 p.m.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BF55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.75pt;margin-top:18.4pt;width:786.75pt;height:243pt;z-index:-157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" filled="f" stroked="f">
                <v:textbox inset="0,0,0,0">
                  <w:txbxContent>
                    <w:p w14:paraId="7CD4998F" w14:textId="77777777" w:rsidR="001D16AC" w:rsidRDefault="00000000">
                      <w:pPr>
                        <w:spacing w:before="69"/>
                        <w:ind w:left="1370"/>
                        <w:rPr>
                          <w:i/>
                          <w:spacing w:val="-4"/>
                        </w:rPr>
                      </w:pPr>
                      <w:r>
                        <w:rPr>
                          <w:i/>
                        </w:rPr>
                        <w:t>cada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uno,</w:t>
                      </w:r>
                      <w:r>
                        <w:rPr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cuantía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12.511,37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</w:rPr>
                        <w:t>UVT.</w:t>
                      </w:r>
                    </w:p>
                    <w:p w14:paraId="7AC2D045" w14:textId="77777777" w:rsidR="00E430CD" w:rsidRDefault="00E430CD">
                      <w:pPr>
                        <w:spacing w:before="69"/>
                        <w:ind w:left="1370"/>
                        <w:rPr>
                          <w:i/>
                        </w:rPr>
                      </w:pPr>
                    </w:p>
                    <w:p w14:paraId="0F34B6E5" w14:textId="77777777" w:rsidR="00E430CD" w:rsidRPr="00E430CD" w:rsidRDefault="00E430CD" w:rsidP="00E430CD">
                      <w:pPr>
                        <w:spacing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Las tarifas podrán ser canceladas a través de los siguientes medios:</w:t>
                      </w:r>
                    </w:p>
                    <w:p w14:paraId="74591CF8" w14:textId="51CCFF1F" w:rsidR="00E430CD" w:rsidRPr="00E430CD" w:rsidRDefault="00E430CD" w:rsidP="00E430CD">
                      <w:pPr>
                        <w:spacing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•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 w:rsidRPr="00E430CD">
                        <w:rPr>
                          <w:rFonts w:ascii="Arial MT" w:hAnsi="Arial MT"/>
                        </w:rPr>
                        <w:t>Transferencia o consignación a la cuenta de ahorros de Bancolombia No. 07682496911.</w:t>
                      </w:r>
                    </w:p>
                    <w:p w14:paraId="19B955A0" w14:textId="5C633248" w:rsidR="00E430CD" w:rsidRPr="00E430CD" w:rsidRDefault="00E430CD" w:rsidP="00E430CD">
                      <w:pPr>
                        <w:spacing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•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 w:rsidRPr="00E430CD">
                        <w:rPr>
                          <w:rFonts w:ascii="Arial MT" w:hAnsi="Arial MT"/>
                        </w:rPr>
                        <w:t>Transferencia o consignación a la cuenta corriente de Davivienda No. 076000857235.</w:t>
                      </w:r>
                    </w:p>
                    <w:p w14:paraId="0313F66B" w14:textId="3F2E44EB" w:rsidR="001D16AC" w:rsidRDefault="00E430CD" w:rsidP="00E430CD">
                      <w:pPr>
                        <w:spacing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•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 w:rsidRPr="00E430CD">
                        <w:rPr>
                          <w:rFonts w:ascii="Arial MT" w:hAnsi="Arial MT"/>
                        </w:rPr>
                        <w:t>Ventanillas de pago ubicadas en cualquiera de nuestras sedes, en los horarios de atención al público de lunes a viernes de 7:00 a.m. - 11:30 a.m. y de 2:00 p.m. 5:30 p.m.</w:t>
                      </w:r>
                    </w:p>
                  </w:txbxContent>
                </v:textbox>
              </v:shape>
            </w:pict>
          </mc:Fallback>
        </mc:AlternateContent>
      </w:r>
      <w:r w:rsidR="00E430CD">
        <w:t>*Cuando</w:t>
      </w:r>
      <w:r w:rsidR="00E430CD">
        <w:rPr>
          <w:spacing w:val="-5"/>
        </w:rPr>
        <w:t xml:space="preserve"> </w:t>
      </w:r>
      <w:r w:rsidR="00E430CD">
        <w:t>no</w:t>
      </w:r>
      <w:r w:rsidR="00E430CD">
        <w:rPr>
          <w:spacing w:val="-5"/>
        </w:rPr>
        <w:t xml:space="preserve"> </w:t>
      </w:r>
      <w:r w:rsidR="00E430CD">
        <w:t>sea</w:t>
      </w:r>
      <w:r w:rsidR="00E430CD">
        <w:rPr>
          <w:spacing w:val="-7"/>
        </w:rPr>
        <w:t xml:space="preserve"> </w:t>
      </w:r>
      <w:r w:rsidR="00E430CD">
        <w:t>posible</w:t>
      </w:r>
      <w:r w:rsidR="00E430CD">
        <w:rPr>
          <w:spacing w:val="-6"/>
        </w:rPr>
        <w:t xml:space="preserve"> </w:t>
      </w:r>
      <w:r w:rsidR="00E430CD">
        <w:t>determinar</w:t>
      </w:r>
      <w:r w:rsidR="00E430CD">
        <w:rPr>
          <w:spacing w:val="-3"/>
        </w:rPr>
        <w:t xml:space="preserve"> </w:t>
      </w:r>
      <w:r w:rsidR="00E430CD">
        <w:t>la</w:t>
      </w:r>
      <w:r w:rsidR="00E430CD">
        <w:rPr>
          <w:spacing w:val="-4"/>
        </w:rPr>
        <w:t xml:space="preserve"> </w:t>
      </w:r>
      <w:r w:rsidR="00E430CD">
        <w:t>cuantía</w:t>
      </w:r>
      <w:r w:rsidR="00E430CD">
        <w:rPr>
          <w:spacing w:val="-3"/>
        </w:rPr>
        <w:t xml:space="preserve"> </w:t>
      </w:r>
      <w:r w:rsidR="00E430CD">
        <w:t>de</w:t>
      </w:r>
      <w:r w:rsidR="00E430CD">
        <w:rPr>
          <w:spacing w:val="-7"/>
        </w:rPr>
        <w:t xml:space="preserve"> </w:t>
      </w:r>
      <w:r w:rsidR="00E430CD">
        <w:t>las pretensiones,</w:t>
      </w:r>
      <w:r w:rsidR="00E430CD">
        <w:rPr>
          <w:spacing w:val="-1"/>
        </w:rPr>
        <w:t xml:space="preserve"> </w:t>
      </w:r>
      <w:r w:rsidR="00E430CD">
        <w:t>los</w:t>
      </w:r>
      <w:r w:rsidR="00E430CD">
        <w:rPr>
          <w:spacing w:val="-5"/>
        </w:rPr>
        <w:t xml:space="preserve"> </w:t>
      </w:r>
      <w:r w:rsidR="00E430CD">
        <w:t>Árbitros</w:t>
      </w:r>
      <w:r w:rsidR="00E430CD">
        <w:rPr>
          <w:spacing w:val="-5"/>
        </w:rPr>
        <w:t xml:space="preserve"> </w:t>
      </w:r>
      <w:r w:rsidR="00E430CD">
        <w:t>tendrán</w:t>
      </w:r>
      <w:r w:rsidR="00E430CD">
        <w:rPr>
          <w:spacing w:val="-4"/>
        </w:rPr>
        <w:t xml:space="preserve"> </w:t>
      </w:r>
      <w:r w:rsidR="00E430CD">
        <w:t>como</w:t>
      </w:r>
      <w:r w:rsidR="00E430CD">
        <w:rPr>
          <w:spacing w:val="-3"/>
        </w:rPr>
        <w:t xml:space="preserve"> </w:t>
      </w:r>
      <w:r w:rsidR="00E430CD">
        <w:t>suma</w:t>
      </w:r>
      <w:r w:rsidR="00E430CD">
        <w:rPr>
          <w:spacing w:val="-4"/>
        </w:rPr>
        <w:t xml:space="preserve"> </w:t>
      </w:r>
      <w:r w:rsidR="00E430CD">
        <w:t>límite</w:t>
      </w:r>
      <w:r w:rsidR="00E430CD">
        <w:rPr>
          <w:spacing w:val="-5"/>
        </w:rPr>
        <w:t xml:space="preserve"> </w:t>
      </w:r>
      <w:r w:rsidR="00E430CD">
        <w:t>para</w:t>
      </w:r>
      <w:r w:rsidR="00E430CD">
        <w:rPr>
          <w:spacing w:val="-5"/>
        </w:rPr>
        <w:t xml:space="preserve"> </w:t>
      </w:r>
      <w:r w:rsidR="00E430CD">
        <w:t>fijar</w:t>
      </w:r>
      <w:r w:rsidR="00E430CD">
        <w:rPr>
          <w:spacing w:val="-3"/>
        </w:rPr>
        <w:t xml:space="preserve"> </w:t>
      </w:r>
      <w:r w:rsidR="00E430CD">
        <w:t>los</w:t>
      </w:r>
      <w:r w:rsidR="00E430CD">
        <w:rPr>
          <w:spacing w:val="-3"/>
        </w:rPr>
        <w:t xml:space="preserve"> </w:t>
      </w:r>
      <w:r w:rsidR="00E430CD">
        <w:t>honorarios</w:t>
      </w:r>
      <w:r w:rsidR="00E430CD">
        <w:rPr>
          <w:spacing w:val="-3"/>
        </w:rPr>
        <w:t xml:space="preserve"> </w:t>
      </w:r>
      <w:r w:rsidR="00E430CD">
        <w:rPr>
          <w:spacing w:val="-5"/>
        </w:rPr>
        <w:t>de</w:t>
      </w:r>
    </w:p>
    <w:sectPr w:rsidR="001D16AC">
      <w:type w:val="continuous"/>
      <w:pgSz w:w="15840" w:h="12240" w:orient="landscape"/>
      <w:pgMar w:top="4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6AC"/>
    <w:rsid w:val="00185395"/>
    <w:rsid w:val="001D16AC"/>
    <w:rsid w:val="002A1962"/>
    <w:rsid w:val="002C6515"/>
    <w:rsid w:val="005053A5"/>
    <w:rsid w:val="007335EA"/>
    <w:rsid w:val="00892E23"/>
    <w:rsid w:val="00E430CD"/>
    <w:rsid w:val="00F2661D"/>
    <w:rsid w:val="0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564E"/>
  <w15:docId w15:val="{EF79E0C8-2A8F-4375-8C52-D78991A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0"/>
    <w:qFormat/>
    <w:pPr>
      <w:spacing w:before="30"/>
      <w:ind w:left="1"/>
      <w:jc w:val="center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ind w:left="20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TARIFAS CENTRO DE CONCILIACION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TARIFAS CENTRO DE CONCILIACION</dc:title>
  <cp:lastModifiedBy>Ariana Stefanía Tovar Medina</cp:lastModifiedBy>
  <cp:revision>6</cp:revision>
  <dcterms:created xsi:type="dcterms:W3CDTF">2025-01-16T13:08:00Z</dcterms:created>
  <dcterms:modified xsi:type="dcterms:W3CDTF">2025-01-21T19:25:00Z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Microsoft: Print To PDF</vt:lpwstr>
  </property>
</Properties>
</file>